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85B" w:rsidRPr="00F4485B" w:rsidRDefault="00F4485B" w:rsidP="00F4485B">
      <w:pPr>
        <w:pStyle w:val="VyNzev"/>
        <w:jc w:val="left"/>
        <w:rPr>
          <w:sz w:val="24"/>
          <w:szCs w:val="24"/>
        </w:rPr>
      </w:pPr>
      <w:r w:rsidRPr="00F4485B">
        <w:rPr>
          <w:caps w:val="0"/>
          <w:sz w:val="24"/>
          <w:szCs w:val="24"/>
        </w:rPr>
        <w:t>Číslo jednací</w:t>
      </w:r>
      <w:r w:rsidRPr="00F4485B">
        <w:rPr>
          <w:sz w:val="24"/>
          <w:szCs w:val="24"/>
        </w:rPr>
        <w:t xml:space="preserve">: </w:t>
      </w:r>
    </w:p>
    <w:p w:rsidR="00F4485B" w:rsidRDefault="00F4485B">
      <w:pPr>
        <w:pStyle w:val="VyNzev"/>
        <w:rPr>
          <w:sz w:val="32"/>
        </w:rPr>
      </w:pPr>
    </w:p>
    <w:p w:rsidR="00AF65AE" w:rsidRPr="002916CD" w:rsidRDefault="00F4485B">
      <w:pPr>
        <w:pStyle w:val="VyNzev"/>
        <w:rPr>
          <w:sz w:val="28"/>
          <w:szCs w:val="28"/>
        </w:rPr>
      </w:pPr>
      <w:r>
        <w:rPr>
          <w:sz w:val="28"/>
          <w:szCs w:val="28"/>
        </w:rPr>
        <w:t>Veřejná vyhláška</w:t>
      </w:r>
      <w:r>
        <w:rPr>
          <w:sz w:val="28"/>
          <w:szCs w:val="28"/>
        </w:rPr>
        <w:br/>
        <w:t xml:space="preserve">návrh opatření obecné povahy </w:t>
      </w:r>
    </w:p>
    <w:p w:rsidR="00AF65AE" w:rsidRPr="00050CA3" w:rsidRDefault="00F4485B" w:rsidP="00292CA6">
      <w:pPr>
        <w:pStyle w:val="VyNzev"/>
        <w:rPr>
          <w:caps w:val="0"/>
          <w:sz w:val="28"/>
          <w:szCs w:val="28"/>
        </w:rPr>
      </w:pPr>
      <w:r>
        <w:rPr>
          <w:caps w:val="0"/>
          <w:sz w:val="28"/>
          <w:szCs w:val="28"/>
        </w:rPr>
        <w:t>a výzva k uplatnění připomínek nebo námitek</w:t>
      </w:r>
    </w:p>
    <w:p w:rsidR="00292CA6" w:rsidRPr="00292CA6" w:rsidRDefault="00292CA6" w:rsidP="006C0B84">
      <w:pPr>
        <w:pStyle w:val="VyNzev"/>
        <w:jc w:val="left"/>
        <w:rPr>
          <w:sz w:val="24"/>
          <w:szCs w:val="24"/>
        </w:rPr>
      </w:pPr>
    </w:p>
    <w:p w:rsidR="000911F1" w:rsidRDefault="000911F1" w:rsidP="00D919A1">
      <w:pPr>
        <w:spacing w:line="276" w:lineRule="auto"/>
        <w:jc w:val="both"/>
        <w:rPr>
          <w:rFonts w:cs="Arial"/>
          <w:b/>
          <w:bCs/>
        </w:rPr>
      </w:pPr>
      <w:r>
        <w:rPr>
          <w:rFonts w:cs="Arial"/>
        </w:rPr>
        <w:t xml:space="preserve">Zastupitelstvo města Havlíčkův Brod jako příslušný správní orgán podle ustanovení § 12 odst. 1 písm. b) zákona č. 338/1992 Sb., o dani z nemovitých věcí, ve znění pozdějších předpisů (dále jen „zákon o dani z nemovitých věcí“) </w:t>
      </w:r>
      <w:r w:rsidRPr="008339B9">
        <w:rPr>
          <w:rFonts w:cs="Arial"/>
        </w:rPr>
        <w:t>a ve spojení s ustanovením § 171 a následujících zákona č. 500/2004 Sb., správní řád</w:t>
      </w:r>
      <w:r>
        <w:rPr>
          <w:rFonts w:cs="Arial"/>
        </w:rPr>
        <w:t xml:space="preserve">, zveřejňuje </w:t>
      </w:r>
      <w:r w:rsidRPr="007013DA">
        <w:rPr>
          <w:rFonts w:cs="Arial"/>
          <w:b/>
          <w:bCs/>
        </w:rPr>
        <w:t xml:space="preserve">návrh </w:t>
      </w:r>
    </w:p>
    <w:p w:rsidR="000911F1" w:rsidRDefault="000911F1" w:rsidP="00D919A1">
      <w:pPr>
        <w:spacing w:line="276" w:lineRule="auto"/>
        <w:jc w:val="both"/>
        <w:rPr>
          <w:rFonts w:cs="Arial"/>
        </w:rPr>
      </w:pPr>
    </w:p>
    <w:p w:rsidR="00AF65AE" w:rsidRDefault="000911F1" w:rsidP="001C385D">
      <w:pPr>
        <w:spacing w:line="240" w:lineRule="auto"/>
        <w:jc w:val="center"/>
        <w:rPr>
          <w:b/>
          <w:caps/>
          <w:sz w:val="28"/>
          <w:szCs w:val="28"/>
        </w:rPr>
      </w:pPr>
      <w:r w:rsidRPr="000911F1">
        <w:rPr>
          <w:b/>
          <w:caps/>
          <w:sz w:val="28"/>
          <w:szCs w:val="28"/>
        </w:rPr>
        <w:t>opatření obecné povahy</w:t>
      </w:r>
    </w:p>
    <w:p w:rsidR="000911F1" w:rsidRDefault="000911F1" w:rsidP="001C385D">
      <w:pPr>
        <w:spacing w:line="240" w:lineRule="auto"/>
        <w:jc w:val="center"/>
        <w:rPr>
          <w:b/>
          <w:caps/>
          <w:sz w:val="28"/>
          <w:szCs w:val="28"/>
        </w:rPr>
      </w:pPr>
    </w:p>
    <w:p w:rsidR="000911F1" w:rsidRPr="000911F1" w:rsidRDefault="000911F1" w:rsidP="00D919A1">
      <w:pPr>
        <w:spacing w:line="276" w:lineRule="auto"/>
        <w:jc w:val="both"/>
        <w:rPr>
          <w:rFonts w:cs="Arial"/>
          <w:iCs/>
        </w:rPr>
      </w:pPr>
      <w:r w:rsidRPr="000911F1">
        <w:rPr>
          <w:rFonts w:cs="Arial"/>
          <w:iCs/>
        </w:rPr>
        <w:t xml:space="preserve">Zastupitelstvo </w:t>
      </w:r>
      <w:r>
        <w:rPr>
          <w:rFonts w:cs="Arial"/>
        </w:rPr>
        <w:t>města Havlíčkův Brod</w:t>
      </w:r>
      <w:r w:rsidRPr="000911F1">
        <w:rPr>
          <w:rFonts w:cs="Arial"/>
          <w:iCs/>
        </w:rPr>
        <w:t xml:space="preserve"> jako příslušný správní orgán podle ustanovení § 12 odst. 1 písm. b) zákona č. 338/1992 Sb., o dani z nemovitých věcí, ve znění pozdějších předpisů (dále jen „zákon o dani z nemovitých věcí“) a ve spojení s ustanovením § 171 a následujících zákona č. 500/2004 Sb., správní řád, ve znění pozdějších předpisů, </w:t>
      </w:r>
    </w:p>
    <w:p w:rsidR="000911F1" w:rsidRPr="000911F1" w:rsidRDefault="000911F1" w:rsidP="00D919A1">
      <w:pPr>
        <w:spacing w:line="276" w:lineRule="auto"/>
        <w:jc w:val="both"/>
        <w:rPr>
          <w:rFonts w:cs="Arial"/>
          <w:iCs/>
        </w:rPr>
      </w:pPr>
    </w:p>
    <w:p w:rsidR="000911F1" w:rsidRPr="000911F1" w:rsidRDefault="000911F1" w:rsidP="001C385D">
      <w:pPr>
        <w:spacing w:line="276" w:lineRule="auto"/>
        <w:jc w:val="center"/>
        <w:rPr>
          <w:rFonts w:cs="Arial"/>
          <w:b/>
          <w:iCs/>
          <w:szCs w:val="24"/>
        </w:rPr>
      </w:pPr>
      <w:r w:rsidRPr="000911F1">
        <w:rPr>
          <w:rFonts w:cs="Arial"/>
          <w:b/>
          <w:iCs/>
          <w:szCs w:val="24"/>
        </w:rPr>
        <w:t>V Y D Á V Á</w:t>
      </w:r>
    </w:p>
    <w:p w:rsidR="000911F1" w:rsidRPr="000911F1" w:rsidRDefault="000911F1" w:rsidP="00D919A1">
      <w:pPr>
        <w:spacing w:line="240" w:lineRule="auto"/>
        <w:jc w:val="both"/>
        <w:rPr>
          <w:b/>
          <w:caps/>
          <w:sz w:val="28"/>
          <w:szCs w:val="28"/>
        </w:rPr>
      </w:pPr>
    </w:p>
    <w:p w:rsidR="00EE0B25" w:rsidRPr="00EE0B25" w:rsidRDefault="00EE0B25" w:rsidP="00D919A1">
      <w:pPr>
        <w:spacing w:line="276" w:lineRule="auto"/>
        <w:jc w:val="both"/>
        <w:rPr>
          <w:rFonts w:cs="Arial"/>
          <w:iCs/>
        </w:rPr>
      </w:pPr>
      <w:r w:rsidRPr="00EE0B25">
        <w:rPr>
          <w:rFonts w:cs="Arial"/>
          <w:iCs/>
        </w:rPr>
        <w:t xml:space="preserve">opatření obecné povahy, kterým se stanovuje místní koeficient pro vymezené nemovité věci, a to pro </w:t>
      </w:r>
      <w:r w:rsidR="0012772D">
        <w:rPr>
          <w:rFonts w:cs="Arial"/>
          <w:iCs/>
        </w:rPr>
        <w:t xml:space="preserve">všechny </w:t>
      </w:r>
      <w:r w:rsidRPr="0012772D">
        <w:rPr>
          <w:rFonts w:cs="Arial"/>
          <w:bCs/>
          <w:iCs/>
        </w:rPr>
        <w:t>pozemky</w:t>
      </w:r>
      <w:r w:rsidR="0012772D">
        <w:rPr>
          <w:rFonts w:cs="Arial"/>
          <w:bCs/>
          <w:iCs/>
        </w:rPr>
        <w:t xml:space="preserve"> uvedené v Příloze k tomuto opatření obecné povahy</w:t>
      </w:r>
      <w:r w:rsidRPr="0012772D">
        <w:rPr>
          <w:rFonts w:cs="Arial"/>
          <w:bCs/>
          <w:iCs/>
        </w:rPr>
        <w:t xml:space="preserve">, </w:t>
      </w:r>
      <w:r w:rsidR="0012772D">
        <w:rPr>
          <w:rFonts w:cs="Arial"/>
          <w:bCs/>
          <w:iCs/>
        </w:rPr>
        <w:t xml:space="preserve">všechny </w:t>
      </w:r>
      <w:r w:rsidRPr="0012772D">
        <w:rPr>
          <w:rFonts w:cs="Arial"/>
          <w:bCs/>
          <w:iCs/>
        </w:rPr>
        <w:t xml:space="preserve">zdanitelné stavby </w:t>
      </w:r>
      <w:r w:rsidR="0012772D">
        <w:rPr>
          <w:rFonts w:cs="Arial"/>
          <w:bCs/>
          <w:iCs/>
        </w:rPr>
        <w:t xml:space="preserve">stojící na těchto pozemcích </w:t>
      </w:r>
      <w:r w:rsidRPr="0012772D">
        <w:rPr>
          <w:rFonts w:cs="Arial"/>
          <w:bCs/>
          <w:iCs/>
        </w:rPr>
        <w:t>a </w:t>
      </w:r>
      <w:r w:rsidR="0012772D">
        <w:rPr>
          <w:rFonts w:cs="Arial"/>
          <w:bCs/>
          <w:iCs/>
        </w:rPr>
        <w:t xml:space="preserve">všechny </w:t>
      </w:r>
      <w:r w:rsidRPr="0012772D">
        <w:rPr>
          <w:rFonts w:cs="Arial"/>
          <w:bCs/>
          <w:iCs/>
        </w:rPr>
        <w:t>zdanitelné jednotky</w:t>
      </w:r>
      <w:r w:rsidR="00992AA9">
        <w:rPr>
          <w:rFonts w:cs="Arial"/>
          <w:bCs/>
          <w:iCs/>
        </w:rPr>
        <w:t xml:space="preserve"> </w:t>
      </w:r>
      <w:r w:rsidR="0012772D" w:rsidRPr="0012772D">
        <w:rPr>
          <w:rFonts w:cs="Arial"/>
          <w:iCs/>
        </w:rPr>
        <w:t xml:space="preserve">ve stavbách stojících na těchto pozemcích </w:t>
      </w:r>
      <w:r w:rsidRPr="00EE0B25">
        <w:rPr>
          <w:rFonts w:cs="Arial"/>
          <w:iCs/>
        </w:rPr>
        <w:t xml:space="preserve">ve výši </w:t>
      </w:r>
      <w:r w:rsidR="004B37C6">
        <w:rPr>
          <w:rFonts w:cs="Arial"/>
          <w:iCs/>
        </w:rPr>
        <w:t xml:space="preserve">1,5. </w:t>
      </w:r>
    </w:p>
    <w:p w:rsidR="00EE0B25" w:rsidRDefault="00EE0B25" w:rsidP="00D919A1">
      <w:pPr>
        <w:tabs>
          <w:tab w:val="left" w:pos="1134"/>
        </w:tabs>
        <w:spacing w:line="276" w:lineRule="auto"/>
        <w:jc w:val="both"/>
        <w:rPr>
          <w:rFonts w:cs="Arial"/>
          <w:iCs/>
        </w:rPr>
      </w:pPr>
    </w:p>
    <w:p w:rsidR="001C507E" w:rsidRPr="001C507E" w:rsidRDefault="00EE0B25" w:rsidP="001C507E">
      <w:pPr>
        <w:tabs>
          <w:tab w:val="left" w:pos="1134"/>
        </w:tabs>
        <w:spacing w:line="276" w:lineRule="auto"/>
        <w:rPr>
          <w:rFonts w:cs="Arial"/>
          <w:iCs/>
        </w:rPr>
      </w:pPr>
      <w:r w:rsidRPr="00EE0B25">
        <w:rPr>
          <w:rFonts w:cs="Arial"/>
          <w:iCs/>
        </w:rPr>
        <w:t>Tento místní koeficient se vztahuje na všechny vymezené nemovité věci s</w:t>
      </w:r>
      <w:r w:rsidR="001C507E">
        <w:rPr>
          <w:rFonts w:cs="Arial"/>
          <w:iCs/>
        </w:rPr>
        <w:t> </w:t>
      </w:r>
      <w:r w:rsidRPr="00EE0B25">
        <w:rPr>
          <w:rFonts w:cs="Arial"/>
          <w:iCs/>
        </w:rPr>
        <w:t>výjimkou</w:t>
      </w:r>
      <w:r w:rsidR="001C507E">
        <w:rPr>
          <w:rFonts w:cs="Arial"/>
          <w:iCs/>
        </w:rPr>
        <w:t xml:space="preserve"> </w:t>
      </w:r>
      <w:r w:rsidRPr="00EE0B25">
        <w:rPr>
          <w:rFonts w:cs="Arial"/>
          <w:iCs/>
        </w:rPr>
        <w:t>pozemků zařazených do skupiny vybraných zemědělských pozemků, trvalých travních porostů nebo nevyužitelných ostatních ploch.</w:t>
      </w:r>
      <w:r w:rsidRPr="00EE0B25">
        <w:rPr>
          <w:rStyle w:val="Znakapoznpodarou"/>
          <w:rFonts w:cs="Arial"/>
          <w:iCs/>
        </w:rPr>
        <w:footnoteReference w:id="1"/>
      </w:r>
      <w:r w:rsidR="001C507E">
        <w:rPr>
          <w:rFonts w:cs="Arial"/>
          <w:iCs/>
        </w:rPr>
        <w:t xml:space="preserve"> </w:t>
      </w:r>
      <w:r w:rsidR="001C507E" w:rsidRPr="001C507E">
        <w:rPr>
          <w:rFonts w:cs="Arial"/>
          <w:iCs/>
        </w:rPr>
        <w:t>Výčet vymezených nemovitých věcí, pro které byl stanoven shora uvedený místní koeficient, je obsažen v</w:t>
      </w:r>
      <w:r w:rsidR="001C507E">
        <w:rPr>
          <w:rFonts w:cs="Arial"/>
          <w:iCs/>
        </w:rPr>
        <w:t> P</w:t>
      </w:r>
      <w:r w:rsidR="001C507E" w:rsidRPr="001C507E">
        <w:rPr>
          <w:rFonts w:cs="Arial"/>
          <w:iCs/>
        </w:rPr>
        <w:t>říloze</w:t>
      </w:r>
      <w:r w:rsidR="001C507E">
        <w:rPr>
          <w:rFonts w:cs="Arial"/>
          <w:iCs/>
        </w:rPr>
        <w:t xml:space="preserve"> č. 1</w:t>
      </w:r>
      <w:r w:rsidR="001C507E" w:rsidRPr="001C507E">
        <w:rPr>
          <w:rFonts w:cs="Arial"/>
          <w:iCs/>
        </w:rPr>
        <w:t xml:space="preserve">, která je nedílnou součástí tohoto opatření obecné povahy. </w:t>
      </w:r>
    </w:p>
    <w:p w:rsidR="00417574" w:rsidRDefault="00417574" w:rsidP="001C507E">
      <w:pPr>
        <w:spacing w:line="276" w:lineRule="auto"/>
        <w:rPr>
          <w:rFonts w:cs="Arial"/>
          <w:iCs/>
        </w:rPr>
      </w:pPr>
    </w:p>
    <w:p w:rsidR="00A300DA" w:rsidRDefault="00A300DA" w:rsidP="00C83CF8">
      <w:pPr>
        <w:pStyle w:val="Vylnek"/>
        <w:spacing w:line="240" w:lineRule="auto"/>
        <w:jc w:val="left"/>
      </w:pPr>
    </w:p>
    <w:p w:rsidR="00EE0B25" w:rsidRDefault="00EE0B25" w:rsidP="00EE0B25">
      <w:pPr>
        <w:pStyle w:val="Vylnek"/>
        <w:spacing w:after="120" w:line="240" w:lineRule="auto"/>
      </w:pPr>
      <w:r>
        <w:t>Odůvodnění</w:t>
      </w:r>
    </w:p>
    <w:p w:rsidR="007B104B" w:rsidRPr="007B104B" w:rsidRDefault="007B104B" w:rsidP="0087442C">
      <w:pPr>
        <w:spacing w:line="276" w:lineRule="auto"/>
        <w:jc w:val="both"/>
        <w:rPr>
          <w:rFonts w:cs="Arial"/>
          <w:szCs w:val="24"/>
        </w:rPr>
      </w:pPr>
      <w:r w:rsidRPr="007B104B">
        <w:rPr>
          <w:rFonts w:cs="Arial"/>
          <w:szCs w:val="24"/>
        </w:rPr>
        <w:t>Toto opatření vydává Zastupitelstvo města Havlíčkův Brod na základě zmocnění uvedeného v §12 odst. 1 písm.</w:t>
      </w:r>
      <w:r w:rsidR="00D919A1">
        <w:rPr>
          <w:rFonts w:cs="Arial"/>
          <w:szCs w:val="24"/>
        </w:rPr>
        <w:t xml:space="preserve"> </w:t>
      </w:r>
      <w:r w:rsidRPr="007B104B">
        <w:rPr>
          <w:rFonts w:cs="Arial"/>
          <w:szCs w:val="24"/>
        </w:rPr>
        <w:t xml:space="preserve">b) </w:t>
      </w:r>
      <w:r w:rsidR="00D919A1">
        <w:rPr>
          <w:rFonts w:cs="Arial"/>
          <w:szCs w:val="24"/>
        </w:rPr>
        <w:t xml:space="preserve"> </w:t>
      </w:r>
      <w:r w:rsidRPr="007B104B">
        <w:rPr>
          <w:rFonts w:cs="Arial"/>
          <w:szCs w:val="24"/>
        </w:rPr>
        <w:t>zákona o dani z nemovitých věcí za účelem stanovení místního koeficientu, jímž se pro účely výpočtu daně násobí tzv. výchozí daň z pozemků a staveb, a to pro konkrétně vymezené nemovité věci (pozemky a zdanitelné stavby na těchto pozemcích se nacházející)  v katastrálním území Havlíčkův Brod</w:t>
      </w:r>
      <w:r w:rsidR="006C00DE">
        <w:rPr>
          <w:rFonts w:cs="Arial"/>
          <w:szCs w:val="24"/>
        </w:rPr>
        <w:t xml:space="preserve"> a Perknov</w:t>
      </w:r>
      <w:r w:rsidRPr="007B104B">
        <w:rPr>
          <w:rFonts w:cs="Arial"/>
          <w:szCs w:val="24"/>
        </w:rPr>
        <w:t xml:space="preserve">. </w:t>
      </w:r>
    </w:p>
    <w:p w:rsidR="006C00DE" w:rsidRDefault="006C00DE" w:rsidP="0087442C">
      <w:pPr>
        <w:spacing w:line="276" w:lineRule="auto"/>
        <w:jc w:val="both"/>
        <w:rPr>
          <w:rFonts w:cs="Arial"/>
          <w:szCs w:val="24"/>
        </w:rPr>
      </w:pPr>
    </w:p>
    <w:p w:rsidR="007B104B" w:rsidRDefault="007B104B" w:rsidP="0087442C">
      <w:pPr>
        <w:spacing w:line="276" w:lineRule="auto"/>
        <w:jc w:val="both"/>
        <w:rPr>
          <w:rFonts w:cs="Arial"/>
          <w:szCs w:val="24"/>
        </w:rPr>
      </w:pPr>
      <w:r w:rsidRPr="007B104B">
        <w:rPr>
          <w:rFonts w:cs="Arial"/>
          <w:szCs w:val="24"/>
        </w:rPr>
        <w:lastRenderedPageBreak/>
        <w:t xml:space="preserve">Zastupitelstvo města Havlíčkův Brod vydalo dne 9. 9. 2024 obecně závaznou vyhlášku č. 5/2024, kterou stanovilo místní koeficienty daně pro jednotlivá katastrální území a pro jednotlivé skupiny staveb a jednotek. Zároveň touto vyhláškou osvobodilo od daně z pozemků ostatní plochy se způsobem využití: neplodná půda, zamokřená plocha, mez, stráň, zeleň. </w:t>
      </w:r>
    </w:p>
    <w:p w:rsidR="00D919A1" w:rsidRPr="007B104B" w:rsidRDefault="00D919A1" w:rsidP="0087442C">
      <w:pPr>
        <w:spacing w:line="276" w:lineRule="auto"/>
        <w:rPr>
          <w:rFonts w:cs="Arial"/>
          <w:szCs w:val="24"/>
        </w:rPr>
      </w:pPr>
    </w:p>
    <w:p w:rsidR="00D919A1" w:rsidRDefault="007B104B" w:rsidP="0087442C">
      <w:pPr>
        <w:spacing w:line="276" w:lineRule="auto"/>
        <w:jc w:val="both"/>
        <w:rPr>
          <w:rFonts w:cs="Arial"/>
          <w:szCs w:val="24"/>
        </w:rPr>
      </w:pPr>
      <w:r w:rsidRPr="007B104B">
        <w:rPr>
          <w:rFonts w:cs="Arial"/>
          <w:szCs w:val="24"/>
        </w:rPr>
        <w:t>Zákon o dani z nemovitých věcí umožňuje obcím stanovit  obecně závaznou vyhláškou místní koeficient  podle ust. § 12 odst.</w:t>
      </w:r>
      <w:r w:rsidR="00D919A1">
        <w:rPr>
          <w:rFonts w:cs="Arial"/>
          <w:szCs w:val="24"/>
        </w:rPr>
        <w:t xml:space="preserve"> </w:t>
      </w:r>
      <w:r w:rsidRPr="007B104B">
        <w:rPr>
          <w:rFonts w:cs="Arial"/>
          <w:szCs w:val="24"/>
        </w:rPr>
        <w:t>1 písm. a) zákona pro celou obec, jednotlivé katastrální území, jednotlivý městský obvod, městskou část nebo skupinu nemovitých věcí. Obecně závaznou vyhláškou však nelze stanovit místní koeficient  pouze pro určitou lokalitu nebo vymezenou část katastrálního území. Pro vymezené nemovité věci může obec stanovit místní koeficient podle § 12 odst. 1 pouze opatřením obecné povahy.</w:t>
      </w:r>
    </w:p>
    <w:p w:rsidR="007B104B" w:rsidRPr="007B104B" w:rsidRDefault="007B104B" w:rsidP="0087442C">
      <w:pPr>
        <w:spacing w:line="276" w:lineRule="auto"/>
        <w:rPr>
          <w:rFonts w:cs="Arial"/>
          <w:szCs w:val="24"/>
        </w:rPr>
      </w:pPr>
      <w:r w:rsidRPr="007B104B">
        <w:rPr>
          <w:rFonts w:cs="Arial"/>
          <w:szCs w:val="24"/>
        </w:rPr>
        <w:t xml:space="preserve"> </w:t>
      </w:r>
    </w:p>
    <w:p w:rsidR="007B104B" w:rsidRDefault="007B104B" w:rsidP="0087442C">
      <w:pPr>
        <w:spacing w:line="276" w:lineRule="auto"/>
        <w:jc w:val="both"/>
        <w:rPr>
          <w:rFonts w:cs="Arial"/>
          <w:szCs w:val="24"/>
        </w:rPr>
      </w:pPr>
      <w:r w:rsidRPr="007B104B">
        <w:rPr>
          <w:rFonts w:cs="Arial"/>
          <w:szCs w:val="24"/>
        </w:rPr>
        <w:t xml:space="preserve">Při stanovování místních koeficientů zákon nevylučuje využití kombinace více zákonných zmocnění najednou. Základním pravidlem však je, že se na nemovitou věc uplatní vždy pouze jeden místní koeficient. Za tímto účelem zákon o dani z nemovitých věcí upravuje sérii kolizních norem, které určují, které druhy místních koeficientů mají při vzájemném souběhu přednost.  </w:t>
      </w:r>
    </w:p>
    <w:p w:rsidR="00D919A1" w:rsidRPr="007B104B" w:rsidRDefault="00D919A1" w:rsidP="0087442C">
      <w:pPr>
        <w:spacing w:line="276" w:lineRule="auto"/>
        <w:rPr>
          <w:rFonts w:cs="Arial"/>
          <w:szCs w:val="24"/>
        </w:rPr>
      </w:pPr>
    </w:p>
    <w:p w:rsidR="006D0485" w:rsidRDefault="006C00DE" w:rsidP="0087442C">
      <w:pPr>
        <w:spacing w:line="276" w:lineRule="auto"/>
        <w:jc w:val="both"/>
        <w:rPr>
          <w:rFonts w:cs="Arial"/>
          <w:szCs w:val="24"/>
        </w:rPr>
      </w:pPr>
      <w:r>
        <w:rPr>
          <w:rFonts w:cs="Arial"/>
          <w:szCs w:val="24"/>
        </w:rPr>
        <w:t>Obecně závaznou vyhláškou č. 5/2024 má město p</w:t>
      </w:r>
      <w:r w:rsidR="007B104B" w:rsidRPr="007B104B">
        <w:rPr>
          <w:rFonts w:cs="Arial"/>
          <w:szCs w:val="24"/>
        </w:rPr>
        <w:t xml:space="preserve">ro katastrální území Havlíčkův Brod a Perknov stanoven místní koeficient podle §12 odst. 1 písm. a) ve výši 2,3. Tento místní koeficient  se vztahuje na všechny nemovité věci na území daného katastrálního území s výjimkou pozemků zařazených do skupiny vybraných zemědělských pozemků, trvalých travních porostů nebo nevyužitelných ostatních ploch. </w:t>
      </w:r>
    </w:p>
    <w:p w:rsidR="00632CCE" w:rsidRDefault="00632CCE" w:rsidP="0087442C">
      <w:pPr>
        <w:spacing w:line="276" w:lineRule="auto"/>
        <w:jc w:val="both"/>
        <w:rPr>
          <w:rFonts w:cs="Arial"/>
          <w:szCs w:val="24"/>
        </w:rPr>
      </w:pPr>
    </w:p>
    <w:p w:rsidR="007B104B" w:rsidRDefault="007B104B" w:rsidP="0087442C">
      <w:pPr>
        <w:spacing w:line="276" w:lineRule="auto"/>
        <w:jc w:val="both"/>
        <w:rPr>
          <w:rFonts w:cs="Arial"/>
          <w:szCs w:val="24"/>
        </w:rPr>
      </w:pPr>
      <w:r w:rsidRPr="007B104B">
        <w:rPr>
          <w:rFonts w:cs="Arial"/>
          <w:szCs w:val="24"/>
        </w:rPr>
        <w:t xml:space="preserve">Pro jednotlivé skupiny </w:t>
      </w:r>
      <w:r w:rsidR="00632CCE">
        <w:rPr>
          <w:rFonts w:cs="Arial"/>
          <w:szCs w:val="24"/>
        </w:rPr>
        <w:t xml:space="preserve">nemovitých věcí </w:t>
      </w:r>
      <w:r w:rsidRPr="007B104B">
        <w:rPr>
          <w:rFonts w:cs="Arial"/>
          <w:szCs w:val="24"/>
        </w:rPr>
        <w:t xml:space="preserve">má město stanoven koeficient 3,0 pro rekreační budovy, garáže, zdanitelné stavby a zdanitelné jednotky pro podnikání v průmyslu, stavebnictví, dopravě, energetice nebo ostatní zemědělské výrobě a </w:t>
      </w:r>
      <w:r w:rsidR="006D0485">
        <w:rPr>
          <w:rFonts w:cs="Arial"/>
          <w:szCs w:val="24"/>
        </w:rPr>
        <w:t xml:space="preserve">pro </w:t>
      </w:r>
      <w:r w:rsidRPr="007B104B">
        <w:rPr>
          <w:rFonts w:cs="Arial"/>
          <w:szCs w:val="24"/>
        </w:rPr>
        <w:t xml:space="preserve">zdanitelné stavby a jednotky pro ostatní druhy podnikání. </w:t>
      </w:r>
      <w:r w:rsidR="006D0485">
        <w:rPr>
          <w:rFonts w:cs="Arial"/>
          <w:szCs w:val="24"/>
        </w:rPr>
        <w:t xml:space="preserve">Tento koeficient je platný pro celé město. </w:t>
      </w:r>
      <w:r w:rsidR="00632CCE">
        <w:rPr>
          <w:rFonts w:cs="Arial"/>
          <w:szCs w:val="24"/>
        </w:rPr>
        <w:t>K</w:t>
      </w:r>
      <w:r w:rsidR="00F947A7">
        <w:rPr>
          <w:rFonts w:cs="Arial"/>
          <w:szCs w:val="24"/>
        </w:rPr>
        <w:t xml:space="preserve">oeficient pro určité skupiny staveb má přednost před místním koeficientem, kterým se upravuje daň pro jednotlivá katastrální území. </w:t>
      </w:r>
    </w:p>
    <w:p w:rsidR="006D0485" w:rsidRDefault="006D0485" w:rsidP="0087442C">
      <w:pPr>
        <w:spacing w:line="276" w:lineRule="auto"/>
        <w:rPr>
          <w:rFonts w:cs="Arial"/>
          <w:szCs w:val="24"/>
        </w:rPr>
      </w:pPr>
    </w:p>
    <w:p w:rsidR="00F947A7" w:rsidRDefault="007B104B" w:rsidP="0087442C">
      <w:pPr>
        <w:spacing w:line="276" w:lineRule="auto"/>
        <w:jc w:val="both"/>
        <w:rPr>
          <w:rFonts w:cs="Arial"/>
          <w:szCs w:val="24"/>
        </w:rPr>
      </w:pPr>
      <w:r w:rsidRPr="007B104B">
        <w:rPr>
          <w:rFonts w:cs="Arial"/>
          <w:szCs w:val="24"/>
        </w:rPr>
        <w:t xml:space="preserve">V listopadu 2025 město obdrželo dva podněty ke snížení místního koeficientu daně z nemovitých věcí. </w:t>
      </w:r>
      <w:r w:rsidR="00F947A7">
        <w:rPr>
          <w:rFonts w:cs="Arial"/>
          <w:szCs w:val="24"/>
        </w:rPr>
        <w:t xml:space="preserve">První </w:t>
      </w:r>
      <w:r w:rsidRPr="007B104B">
        <w:rPr>
          <w:rFonts w:cs="Arial"/>
          <w:szCs w:val="24"/>
        </w:rPr>
        <w:t>podnět se týkal lokality Občiny, druhý podnět  se týkal lokality U Menoušků. V obou případech bylo poukazováno na neúměrnou daňovou zátěž</w:t>
      </w:r>
      <w:r w:rsidR="00F947A7">
        <w:rPr>
          <w:rFonts w:cs="Arial"/>
          <w:szCs w:val="24"/>
        </w:rPr>
        <w:t xml:space="preserve"> s ohledem na umístění staveb</w:t>
      </w:r>
      <w:r w:rsidR="000B22A8">
        <w:rPr>
          <w:rFonts w:cs="Arial"/>
          <w:szCs w:val="24"/>
        </w:rPr>
        <w:t xml:space="preserve"> určených a používaných k trvalému bydlení</w:t>
      </w:r>
      <w:r w:rsidRPr="007B104B">
        <w:rPr>
          <w:rFonts w:cs="Arial"/>
          <w:szCs w:val="24"/>
        </w:rPr>
        <w:t xml:space="preserve">. </w:t>
      </w:r>
      <w:r w:rsidR="00F947A7">
        <w:rPr>
          <w:rFonts w:cs="Arial"/>
          <w:szCs w:val="24"/>
        </w:rPr>
        <w:t xml:space="preserve">Obě </w:t>
      </w:r>
      <w:r w:rsidRPr="007B104B">
        <w:rPr>
          <w:rFonts w:cs="Arial"/>
          <w:szCs w:val="24"/>
        </w:rPr>
        <w:t>lokality leží v katastrálním území Havlíčků</w:t>
      </w:r>
      <w:r w:rsidR="00F947A7">
        <w:rPr>
          <w:rFonts w:cs="Arial"/>
          <w:szCs w:val="24"/>
        </w:rPr>
        <w:t>v</w:t>
      </w:r>
      <w:r w:rsidR="000B22A8">
        <w:rPr>
          <w:rFonts w:cs="Arial"/>
          <w:szCs w:val="24"/>
        </w:rPr>
        <w:t xml:space="preserve"> Brod, ale v odlehlých částech,</w:t>
      </w:r>
      <w:r w:rsidRPr="007B104B">
        <w:rPr>
          <w:rFonts w:cs="Arial"/>
          <w:szCs w:val="24"/>
        </w:rPr>
        <w:t xml:space="preserve"> oddělené od souvislé městské zástavby. Oblasti mají příměstský charakter, bez plného napojení na městskou infrastrukturu, a z hlediska využití městských služeb srovnatelné s příměstskými částmi Havlíčkova Brodu</w:t>
      </w:r>
      <w:r w:rsidR="000B22A8">
        <w:rPr>
          <w:rFonts w:cs="Arial"/>
          <w:szCs w:val="24"/>
        </w:rPr>
        <w:t xml:space="preserve"> jako je např. Jilemník nebo Březinka</w:t>
      </w:r>
      <w:r w:rsidRPr="007B104B">
        <w:rPr>
          <w:rFonts w:cs="Arial"/>
          <w:szCs w:val="24"/>
        </w:rPr>
        <w:t>. Oba podněty</w:t>
      </w:r>
      <w:r w:rsidR="00F947A7">
        <w:rPr>
          <w:rFonts w:cs="Arial"/>
          <w:szCs w:val="24"/>
        </w:rPr>
        <w:t xml:space="preserve"> byly shledány</w:t>
      </w:r>
      <w:r w:rsidRPr="007B104B">
        <w:rPr>
          <w:rFonts w:cs="Arial"/>
          <w:szCs w:val="24"/>
        </w:rPr>
        <w:t xml:space="preserve"> jako oprávněné.  </w:t>
      </w:r>
    </w:p>
    <w:p w:rsidR="00F947A7" w:rsidRDefault="00F947A7" w:rsidP="0087442C">
      <w:pPr>
        <w:spacing w:line="276" w:lineRule="auto"/>
        <w:jc w:val="both"/>
        <w:rPr>
          <w:rFonts w:cs="Arial"/>
          <w:szCs w:val="24"/>
        </w:rPr>
      </w:pPr>
    </w:p>
    <w:p w:rsidR="00A65413" w:rsidRDefault="00F947A7" w:rsidP="0087442C">
      <w:pPr>
        <w:spacing w:line="276" w:lineRule="auto"/>
        <w:jc w:val="both"/>
        <w:rPr>
          <w:rStyle w:val="t286pc"/>
        </w:rPr>
      </w:pPr>
      <w:r>
        <w:t xml:space="preserve">Vydané opatření obecné </w:t>
      </w:r>
      <w:r w:rsidR="00A65413">
        <w:t xml:space="preserve">povahy </w:t>
      </w:r>
      <w:r>
        <w:t>nesmí být diskriminační a nesmí bez legitimního důvodu zvýhodňovat určitou skupinu osob.</w:t>
      </w:r>
      <w:r w:rsidR="00A65413">
        <w:t xml:space="preserve"> </w:t>
      </w:r>
      <w:r>
        <w:t xml:space="preserve"> Tento princip vychází z ústavního pořádku České republiky</w:t>
      </w:r>
      <w:r w:rsidR="00A65413">
        <w:t xml:space="preserve">. </w:t>
      </w:r>
      <w:r w:rsidR="00A65413">
        <w:rPr>
          <w:rStyle w:val="Siln"/>
          <w:b w:val="0"/>
        </w:rPr>
        <w:t xml:space="preserve">  </w:t>
      </w:r>
      <w:r w:rsidR="00A65413">
        <w:rPr>
          <w:rStyle w:val="t286pc"/>
        </w:rPr>
        <w:t>Veřejná správa musí zacházet se všemi osobami ve srovnatelné situaci stejně.</w:t>
      </w:r>
      <w:r w:rsidR="00A65413" w:rsidRPr="00A65413">
        <w:t xml:space="preserve"> </w:t>
      </w:r>
      <w:r w:rsidR="00A65413">
        <w:rPr>
          <w:rStyle w:val="t286pc"/>
        </w:rPr>
        <w:t xml:space="preserve">Zvýhodnění </w:t>
      </w:r>
      <w:r w:rsidR="00A65413">
        <w:rPr>
          <w:rStyle w:val="t286pc"/>
        </w:rPr>
        <w:lastRenderedPageBreak/>
        <w:t>určité skupiny je možné pouze tehdy, pokud má za cíl vyrovnat faktické znevýhodnění. Jde o tzv. "pozitivní opatření", které nesmí být na újmu jiným</w:t>
      </w:r>
      <w:r w:rsidR="00175523">
        <w:rPr>
          <w:rStyle w:val="t286pc"/>
        </w:rPr>
        <w:t xml:space="preserve"> skupinám osob. </w:t>
      </w:r>
    </w:p>
    <w:p w:rsidR="00175523" w:rsidRDefault="00175523" w:rsidP="0087442C">
      <w:pPr>
        <w:spacing w:line="276" w:lineRule="auto"/>
        <w:rPr>
          <w:rStyle w:val="t286pc"/>
        </w:rPr>
      </w:pPr>
    </w:p>
    <w:p w:rsidR="007B104B" w:rsidRDefault="00B3174E" w:rsidP="0087442C">
      <w:pPr>
        <w:spacing w:line="276" w:lineRule="auto"/>
        <w:jc w:val="both"/>
        <w:rPr>
          <w:rFonts w:cs="Arial"/>
          <w:szCs w:val="24"/>
        </w:rPr>
      </w:pPr>
      <w:r>
        <w:rPr>
          <w:rFonts w:cs="Arial"/>
          <w:szCs w:val="24"/>
        </w:rPr>
        <w:t xml:space="preserve">Z tohoto </w:t>
      </w:r>
      <w:r w:rsidR="007B104B" w:rsidRPr="007B104B">
        <w:rPr>
          <w:rFonts w:cs="Arial"/>
          <w:szCs w:val="24"/>
        </w:rPr>
        <w:t xml:space="preserve">důvodu </w:t>
      </w:r>
      <w:r w:rsidR="008C7647">
        <w:rPr>
          <w:rFonts w:cs="Arial"/>
          <w:szCs w:val="24"/>
        </w:rPr>
        <w:t>jsme se zabývali oběma podněty. J</w:t>
      </w:r>
      <w:r w:rsidR="007B104B" w:rsidRPr="007B104B">
        <w:rPr>
          <w:rFonts w:cs="Arial"/>
          <w:szCs w:val="24"/>
        </w:rPr>
        <w:t xml:space="preserve">ako </w:t>
      </w:r>
      <w:r w:rsidR="008C7647">
        <w:rPr>
          <w:rFonts w:cs="Arial"/>
          <w:szCs w:val="24"/>
        </w:rPr>
        <w:t>podklad byl použit</w:t>
      </w:r>
      <w:r w:rsidR="007B104B" w:rsidRPr="007B104B">
        <w:rPr>
          <w:rFonts w:cs="Arial"/>
          <w:szCs w:val="24"/>
        </w:rPr>
        <w:t xml:space="preserve"> územní plán města a zaměřili</w:t>
      </w:r>
      <w:r w:rsidR="008C7647">
        <w:rPr>
          <w:rFonts w:cs="Arial"/>
          <w:szCs w:val="24"/>
        </w:rPr>
        <w:t xml:space="preserve"> jsme </w:t>
      </w:r>
      <w:r w:rsidR="007B104B" w:rsidRPr="007B104B">
        <w:rPr>
          <w:rFonts w:cs="Arial"/>
          <w:szCs w:val="24"/>
        </w:rPr>
        <w:t xml:space="preserve">se na lokality podobného rázu určené územním plánem </w:t>
      </w:r>
      <w:r w:rsidR="00175523">
        <w:rPr>
          <w:rFonts w:cs="Arial"/>
          <w:szCs w:val="24"/>
        </w:rPr>
        <w:t xml:space="preserve">města </w:t>
      </w:r>
      <w:r w:rsidR="007B104B" w:rsidRPr="007B104B">
        <w:rPr>
          <w:rFonts w:cs="Arial"/>
          <w:szCs w:val="24"/>
        </w:rPr>
        <w:t xml:space="preserve">pro bydlení. </w:t>
      </w:r>
      <w:r w:rsidR="00175523">
        <w:rPr>
          <w:rFonts w:cs="Arial"/>
          <w:szCs w:val="24"/>
        </w:rPr>
        <w:t xml:space="preserve">Jedná se o </w:t>
      </w:r>
      <w:r w:rsidR="008C7647">
        <w:rPr>
          <w:rFonts w:cs="Arial"/>
          <w:szCs w:val="24"/>
        </w:rPr>
        <w:t xml:space="preserve">samoty či skupiny několika </w:t>
      </w:r>
      <w:r w:rsidR="00241A70">
        <w:rPr>
          <w:rFonts w:cs="Arial"/>
          <w:szCs w:val="24"/>
        </w:rPr>
        <w:t xml:space="preserve">obytných budov </w:t>
      </w:r>
      <w:r w:rsidR="007B104B" w:rsidRPr="007B104B">
        <w:rPr>
          <w:rFonts w:cs="Arial"/>
          <w:szCs w:val="24"/>
        </w:rPr>
        <w:t>umístěn</w:t>
      </w:r>
      <w:r w:rsidR="00175523">
        <w:rPr>
          <w:rFonts w:cs="Arial"/>
          <w:szCs w:val="24"/>
        </w:rPr>
        <w:t>é</w:t>
      </w:r>
      <w:r w:rsidR="007B104B" w:rsidRPr="007B104B">
        <w:rPr>
          <w:rFonts w:cs="Arial"/>
          <w:szCs w:val="24"/>
        </w:rPr>
        <w:t xml:space="preserve"> na okraji katastrálního území Havlíčkův Brod, případně Perknov, oddělené od souvislé zástavby hlavní komunikací, lesem, loukou, průmyslovým areálem apod. Tímto způsobem </w:t>
      </w:r>
      <w:r w:rsidR="00241A70">
        <w:rPr>
          <w:rFonts w:cs="Arial"/>
          <w:szCs w:val="24"/>
        </w:rPr>
        <w:t xml:space="preserve">byly vybrány další vymezené nemovité věci, </w:t>
      </w:r>
      <w:r w:rsidR="007B104B" w:rsidRPr="007B104B">
        <w:rPr>
          <w:rFonts w:cs="Arial"/>
          <w:szCs w:val="24"/>
        </w:rPr>
        <w:t>které jsou vyjmenovány v příloze tohoto opatření.</w:t>
      </w:r>
      <w:r w:rsidR="007A4CC6">
        <w:rPr>
          <w:rFonts w:cs="Arial"/>
          <w:szCs w:val="24"/>
        </w:rPr>
        <w:t xml:space="preserve"> Základem pro výběr pozemk</w:t>
      </w:r>
      <w:r w:rsidR="00B71C4C">
        <w:rPr>
          <w:rFonts w:cs="Arial"/>
          <w:szCs w:val="24"/>
        </w:rPr>
        <w:t>ů</w:t>
      </w:r>
      <w:r w:rsidR="007A4CC6">
        <w:rPr>
          <w:rFonts w:cs="Arial"/>
          <w:szCs w:val="24"/>
        </w:rPr>
        <w:t xml:space="preserve"> a staveb na n</w:t>
      </w:r>
      <w:r w:rsidR="00B71C4C">
        <w:rPr>
          <w:rFonts w:cs="Arial"/>
          <w:szCs w:val="24"/>
        </w:rPr>
        <w:t>ich</w:t>
      </w:r>
      <w:r w:rsidR="007A4CC6">
        <w:rPr>
          <w:rFonts w:cs="Arial"/>
          <w:szCs w:val="24"/>
        </w:rPr>
        <w:t xml:space="preserve"> umístěných byl stav evidovaný v katastru nemovitostí.</w:t>
      </w:r>
      <w:r w:rsidR="00B71C4C">
        <w:rPr>
          <w:rFonts w:cs="Arial"/>
          <w:szCs w:val="24"/>
        </w:rPr>
        <w:t xml:space="preserve"> Jedná se primárně o obytné domy a příslušenství k nim, včetně zemědělských staveb, ostatních ploch a zastavěných ploch a nádvoří. </w:t>
      </w:r>
      <w:r w:rsidR="007A4CC6">
        <w:rPr>
          <w:rFonts w:cs="Arial"/>
          <w:szCs w:val="24"/>
        </w:rPr>
        <w:t xml:space="preserve"> </w:t>
      </w:r>
      <w:r w:rsidR="0057030C">
        <w:rPr>
          <w:rFonts w:cs="Arial"/>
          <w:szCs w:val="24"/>
        </w:rPr>
        <w:t xml:space="preserve">Může dojít k tomu, že skutečný způsob </w:t>
      </w:r>
      <w:r w:rsidR="007A4CC6">
        <w:rPr>
          <w:rFonts w:cs="Arial"/>
          <w:szCs w:val="24"/>
        </w:rPr>
        <w:t xml:space="preserve">užívání </w:t>
      </w:r>
      <w:r w:rsidR="0057030C">
        <w:rPr>
          <w:rFonts w:cs="Arial"/>
          <w:szCs w:val="24"/>
        </w:rPr>
        <w:t>u některých pozemků či staveb v daných lokalitách</w:t>
      </w:r>
      <w:r w:rsidR="00B71C4C">
        <w:rPr>
          <w:rFonts w:cs="Arial"/>
          <w:szCs w:val="24"/>
        </w:rPr>
        <w:t xml:space="preserve"> uvedený v přiznání k dani z nemovitých věcí </w:t>
      </w:r>
      <w:r w:rsidR="008A735A">
        <w:rPr>
          <w:rFonts w:cs="Arial"/>
          <w:szCs w:val="24"/>
        </w:rPr>
        <w:t>je</w:t>
      </w:r>
      <w:r w:rsidR="0057030C">
        <w:rPr>
          <w:rFonts w:cs="Arial"/>
          <w:szCs w:val="24"/>
        </w:rPr>
        <w:t xml:space="preserve"> odlišný od stavu evidovaného v katastru nemovitostí</w:t>
      </w:r>
      <w:r w:rsidR="008A735A">
        <w:rPr>
          <w:rFonts w:cs="Arial"/>
          <w:szCs w:val="24"/>
        </w:rPr>
        <w:t xml:space="preserve">, což nelze z dostupných zdrojů s jistotou určit. </w:t>
      </w:r>
      <w:r w:rsidR="0057030C">
        <w:rPr>
          <w:rFonts w:cs="Arial"/>
          <w:szCs w:val="24"/>
        </w:rPr>
        <w:t xml:space="preserve"> </w:t>
      </w:r>
      <w:r w:rsidR="007A4CC6">
        <w:rPr>
          <w:rFonts w:cs="Arial"/>
          <w:szCs w:val="24"/>
        </w:rPr>
        <w:t> </w:t>
      </w:r>
    </w:p>
    <w:p w:rsidR="00175523" w:rsidRPr="00A65413" w:rsidRDefault="00175523" w:rsidP="0087442C">
      <w:pPr>
        <w:spacing w:line="276" w:lineRule="auto"/>
        <w:rPr>
          <w:rFonts w:ascii="Times New Roman" w:hAnsi="Times New Roman"/>
        </w:rPr>
      </w:pPr>
    </w:p>
    <w:p w:rsidR="00C81295" w:rsidRDefault="007B104B" w:rsidP="0087442C">
      <w:pPr>
        <w:spacing w:line="276" w:lineRule="auto"/>
        <w:jc w:val="both"/>
        <w:rPr>
          <w:rFonts w:cs="Arial"/>
          <w:szCs w:val="24"/>
        </w:rPr>
      </w:pPr>
      <w:r w:rsidRPr="007B104B">
        <w:rPr>
          <w:rFonts w:cs="Arial"/>
          <w:szCs w:val="24"/>
        </w:rPr>
        <w:t xml:space="preserve">Pro katastrální území Havlíčkův Brod a Perknov, kde se tyto </w:t>
      </w:r>
      <w:r w:rsidR="004F4930">
        <w:rPr>
          <w:rFonts w:cs="Arial"/>
          <w:szCs w:val="24"/>
        </w:rPr>
        <w:t xml:space="preserve">vymezené nemovité věci </w:t>
      </w:r>
      <w:r w:rsidRPr="007B104B">
        <w:rPr>
          <w:rFonts w:cs="Arial"/>
          <w:szCs w:val="24"/>
        </w:rPr>
        <w:t xml:space="preserve"> nacházejí,  má město stanoven místní koeficient 2,3.</w:t>
      </w:r>
      <w:r w:rsidR="004F4930">
        <w:rPr>
          <w:rFonts w:cs="Arial"/>
          <w:szCs w:val="24"/>
        </w:rPr>
        <w:t xml:space="preserve"> </w:t>
      </w:r>
      <w:r w:rsidR="004168CF">
        <w:rPr>
          <w:rFonts w:cs="Arial"/>
          <w:szCs w:val="24"/>
        </w:rPr>
        <w:t>Místní koeficient pro tímto opatřením vymezené nemovité věci</w:t>
      </w:r>
      <w:r w:rsidR="00C81295">
        <w:rPr>
          <w:rFonts w:cs="Arial"/>
          <w:szCs w:val="24"/>
        </w:rPr>
        <w:t xml:space="preserve"> </w:t>
      </w:r>
      <w:r w:rsidR="004168CF">
        <w:rPr>
          <w:rFonts w:cs="Arial"/>
          <w:szCs w:val="24"/>
        </w:rPr>
        <w:t>byl stanoven ve výši 1,5. V</w:t>
      </w:r>
      <w:r w:rsidRPr="007B104B">
        <w:rPr>
          <w:rFonts w:cs="Arial"/>
          <w:szCs w:val="24"/>
        </w:rPr>
        <w:t xml:space="preserve">ýše koeficientu </w:t>
      </w:r>
      <w:r w:rsidR="004168CF">
        <w:rPr>
          <w:rFonts w:cs="Arial"/>
          <w:szCs w:val="24"/>
        </w:rPr>
        <w:t xml:space="preserve">tak </w:t>
      </w:r>
      <w:r w:rsidRPr="007B104B">
        <w:rPr>
          <w:rFonts w:cs="Arial"/>
          <w:szCs w:val="24"/>
        </w:rPr>
        <w:t>odpovídá místním čás</w:t>
      </w:r>
      <w:r w:rsidR="001C385D">
        <w:rPr>
          <w:rFonts w:cs="Arial"/>
          <w:szCs w:val="24"/>
        </w:rPr>
        <w:t xml:space="preserve">tem se srovnatelnými podmínkami (Jilemník, Klanečná, Květnov, Veselice, Zbožice). </w:t>
      </w:r>
    </w:p>
    <w:p w:rsidR="00C81295" w:rsidRDefault="00C81295" w:rsidP="0087442C">
      <w:pPr>
        <w:spacing w:line="276" w:lineRule="auto"/>
        <w:jc w:val="both"/>
        <w:rPr>
          <w:rFonts w:cs="Arial"/>
          <w:szCs w:val="24"/>
        </w:rPr>
      </w:pPr>
    </w:p>
    <w:p w:rsidR="00DD4FF7" w:rsidRDefault="004168CF" w:rsidP="0087442C">
      <w:pPr>
        <w:spacing w:line="276" w:lineRule="auto"/>
        <w:jc w:val="both"/>
        <w:rPr>
          <w:rFonts w:cs="Arial"/>
          <w:szCs w:val="24"/>
        </w:rPr>
      </w:pPr>
      <w:r>
        <w:rPr>
          <w:rFonts w:cs="Arial"/>
          <w:szCs w:val="24"/>
        </w:rPr>
        <w:t>Koeficient pro pozemky evidované v katastru nemovitostí jako orná p</w:t>
      </w:r>
      <w:r w:rsidR="005C4A4C">
        <w:rPr>
          <w:rFonts w:cs="Arial"/>
          <w:szCs w:val="24"/>
        </w:rPr>
        <w:t xml:space="preserve">ůda, chmelnice, vinice, zahrada, ovocný sad, trvalý travní porost je na celém území města stanoven ve výši 1,0. </w:t>
      </w:r>
      <w:r w:rsidR="00DD4FF7">
        <w:rPr>
          <w:rFonts w:cs="Arial"/>
          <w:szCs w:val="24"/>
        </w:rPr>
        <w:t xml:space="preserve">Pozemky se způsobem využití </w:t>
      </w:r>
      <w:r w:rsidR="00DD4FF7" w:rsidRPr="007B104B">
        <w:rPr>
          <w:rFonts w:cs="Arial"/>
          <w:szCs w:val="24"/>
        </w:rPr>
        <w:t>neplodná půda, zamokřená plocha, mez, stráň, zeleň</w:t>
      </w:r>
      <w:r w:rsidR="00DD4FF7">
        <w:rPr>
          <w:rFonts w:cs="Arial"/>
          <w:szCs w:val="24"/>
        </w:rPr>
        <w:t>, jsou od daně osvobozeny</w:t>
      </w:r>
      <w:r w:rsidR="005C4A4C">
        <w:rPr>
          <w:rFonts w:cs="Arial"/>
          <w:szCs w:val="24"/>
        </w:rPr>
        <w:t xml:space="preserve">. Z uvedeného důvodu nejsou </w:t>
      </w:r>
      <w:r w:rsidR="00B71C4C">
        <w:rPr>
          <w:rFonts w:cs="Arial"/>
          <w:szCs w:val="24"/>
        </w:rPr>
        <w:t xml:space="preserve">zmíněné typy pozemků </w:t>
      </w:r>
      <w:r w:rsidR="005C4A4C">
        <w:rPr>
          <w:rFonts w:cs="Arial"/>
          <w:szCs w:val="24"/>
        </w:rPr>
        <w:t xml:space="preserve">v opatření obecné povahy vyjmenovány. </w:t>
      </w:r>
      <w:r w:rsidR="00DD4FF7">
        <w:rPr>
          <w:rFonts w:cs="Arial"/>
          <w:szCs w:val="24"/>
        </w:rPr>
        <w:t xml:space="preserve"> </w:t>
      </w:r>
    </w:p>
    <w:p w:rsidR="001C385D" w:rsidRPr="007B104B" w:rsidRDefault="001C385D" w:rsidP="0087442C">
      <w:pPr>
        <w:spacing w:line="276" w:lineRule="auto"/>
        <w:rPr>
          <w:rFonts w:cs="Arial"/>
          <w:szCs w:val="24"/>
        </w:rPr>
      </w:pPr>
    </w:p>
    <w:p w:rsidR="007B104B" w:rsidRPr="007B104B" w:rsidRDefault="007B104B" w:rsidP="0087442C">
      <w:pPr>
        <w:spacing w:line="276" w:lineRule="auto"/>
        <w:jc w:val="both"/>
        <w:rPr>
          <w:rFonts w:cs="Arial"/>
          <w:szCs w:val="24"/>
        </w:rPr>
      </w:pPr>
      <w:r w:rsidRPr="007B104B">
        <w:rPr>
          <w:rFonts w:cs="Arial"/>
          <w:szCs w:val="24"/>
        </w:rPr>
        <w:t xml:space="preserve">Nedílnou součástí  opatření  obecné povahy je Příloha č. 1 – seznam vymezených nemovitých věcí označených katastrálním územím a </w:t>
      </w:r>
      <w:r w:rsidR="00AC4C58">
        <w:rPr>
          <w:rFonts w:cs="Arial"/>
          <w:szCs w:val="24"/>
        </w:rPr>
        <w:t xml:space="preserve">typem a </w:t>
      </w:r>
      <w:r w:rsidRPr="007B104B">
        <w:rPr>
          <w:rFonts w:cs="Arial"/>
          <w:szCs w:val="24"/>
        </w:rPr>
        <w:t>parcelním číslem</w:t>
      </w:r>
      <w:r w:rsidR="00AC4C58">
        <w:rPr>
          <w:rFonts w:cs="Arial"/>
          <w:szCs w:val="24"/>
        </w:rPr>
        <w:t xml:space="preserve"> pozemku. </w:t>
      </w:r>
      <w:r w:rsidRPr="007B104B">
        <w:rPr>
          <w:rFonts w:cs="Arial"/>
          <w:szCs w:val="24"/>
        </w:rPr>
        <w:t xml:space="preserve"> </w:t>
      </w:r>
    </w:p>
    <w:p w:rsidR="00EE0B25" w:rsidRPr="00EE0B25" w:rsidRDefault="00EE0B25" w:rsidP="0087442C">
      <w:pPr>
        <w:spacing w:line="276" w:lineRule="auto"/>
      </w:pPr>
    </w:p>
    <w:p w:rsidR="00AF65AE" w:rsidRDefault="00EE0B25">
      <w:pPr>
        <w:pStyle w:val="Vylnek"/>
        <w:spacing w:after="120" w:line="240" w:lineRule="auto"/>
      </w:pPr>
      <w:r>
        <w:t>Poučení</w:t>
      </w:r>
    </w:p>
    <w:p w:rsidR="00D421EC" w:rsidRPr="00D421EC" w:rsidRDefault="00D421EC" w:rsidP="001C385D">
      <w:pPr>
        <w:spacing w:line="276" w:lineRule="auto"/>
        <w:jc w:val="both"/>
        <w:rPr>
          <w:rFonts w:cs="Arial"/>
          <w:iCs/>
        </w:rPr>
      </w:pPr>
      <w:r w:rsidRPr="00D421EC">
        <w:rPr>
          <w:rFonts w:cs="Arial"/>
          <w:iCs/>
        </w:rPr>
        <w:t xml:space="preserve">Proti opatření obecné povahy nelze podle § 173 odst. 2 správního řádu podat opravný prostředek. Do opatření obecné povahy a jeho odůvodnění může podle § 173 odst. 1 správního řádu každý nahlédnout u obecního/městského úřadu, který opatření obecné povahy vydal. </w:t>
      </w:r>
    </w:p>
    <w:p w:rsidR="00D421EC" w:rsidRDefault="00D421EC" w:rsidP="001C385D">
      <w:pPr>
        <w:spacing w:line="276" w:lineRule="auto"/>
        <w:jc w:val="both"/>
        <w:rPr>
          <w:rFonts w:cs="Arial"/>
          <w:iCs/>
        </w:rPr>
      </w:pPr>
    </w:p>
    <w:p w:rsidR="00D421EC" w:rsidRDefault="00D421EC" w:rsidP="00222826">
      <w:pPr>
        <w:pStyle w:val="Vylnek"/>
        <w:spacing w:after="120" w:line="240" w:lineRule="auto"/>
      </w:pPr>
      <w:r>
        <w:t>Účinnost</w:t>
      </w:r>
    </w:p>
    <w:p w:rsidR="00D421EC" w:rsidRDefault="00D421EC" w:rsidP="001C385D">
      <w:pPr>
        <w:spacing w:line="276" w:lineRule="auto"/>
        <w:jc w:val="both"/>
        <w:rPr>
          <w:rFonts w:cs="Arial"/>
          <w:i/>
          <w:iCs/>
        </w:rPr>
      </w:pPr>
      <w:r>
        <w:t xml:space="preserve">Toto opatření obecné povahy nabývá účinnosti </w:t>
      </w:r>
      <w:r w:rsidRPr="00EE0B25">
        <w:rPr>
          <w:rFonts w:cs="Arial"/>
          <w:iCs/>
        </w:rPr>
        <w:t>v souladu s § 173 odst. 1 správního řádu patnáctým dnem po dni vyvěšení veřejné vyhlášky.</w:t>
      </w:r>
    </w:p>
    <w:p w:rsidR="001C385D" w:rsidRDefault="001C385D" w:rsidP="00D421EC">
      <w:pPr>
        <w:spacing w:line="276" w:lineRule="auto"/>
        <w:rPr>
          <w:rFonts w:cs="Arial"/>
          <w:i/>
          <w:iCs/>
        </w:rPr>
      </w:pPr>
    </w:p>
    <w:p w:rsidR="001C385D" w:rsidRDefault="001C385D" w:rsidP="00D421EC">
      <w:pPr>
        <w:spacing w:line="276" w:lineRule="auto"/>
        <w:rPr>
          <w:rFonts w:cs="Arial"/>
          <w:i/>
          <w:iCs/>
        </w:rPr>
      </w:pPr>
    </w:p>
    <w:p w:rsidR="00A45EF4" w:rsidRDefault="00A45EF4" w:rsidP="00D421EC">
      <w:pPr>
        <w:spacing w:line="276" w:lineRule="auto"/>
        <w:rPr>
          <w:rFonts w:cs="Arial"/>
          <w:i/>
          <w:iCs/>
        </w:rPr>
      </w:pPr>
    </w:p>
    <w:p w:rsidR="001C507E" w:rsidRDefault="001C507E" w:rsidP="001C507E">
      <w:pPr>
        <w:pStyle w:val="Zhlav"/>
        <w:tabs>
          <w:tab w:val="center" w:pos="2410"/>
          <w:tab w:val="center" w:pos="8364"/>
        </w:tabs>
        <w:spacing w:line="240" w:lineRule="auto"/>
        <w:jc w:val="center"/>
        <w:rPr>
          <w:b/>
        </w:rPr>
      </w:pPr>
      <w:r>
        <w:rPr>
          <w:b/>
        </w:rPr>
        <w:lastRenderedPageBreak/>
        <w:t>Příloha č. 1 – Se</w:t>
      </w:r>
      <w:r w:rsidR="00B71C4C">
        <w:rPr>
          <w:b/>
        </w:rPr>
        <w:t>znam vymezených nemovitých věcí</w:t>
      </w:r>
      <w:r w:rsidR="00222826">
        <w:rPr>
          <w:b/>
        </w:rPr>
        <w:t>;</w:t>
      </w:r>
      <w:r w:rsidR="00B71C4C">
        <w:rPr>
          <w:b/>
        </w:rPr>
        <w:t xml:space="preserve"> </w:t>
      </w:r>
      <w:r w:rsidR="00B71C4C">
        <w:rPr>
          <w:b/>
        </w:rPr>
        <w:br/>
      </w:r>
      <w:r w:rsidR="00AE4A52">
        <w:rPr>
          <w:rFonts w:cs="Arial"/>
          <w:bCs/>
          <w:iCs/>
        </w:rPr>
        <w:t xml:space="preserve">týká se </w:t>
      </w:r>
      <w:r w:rsidR="00B71C4C" w:rsidRPr="0012772D">
        <w:rPr>
          <w:rFonts w:cs="Arial"/>
          <w:bCs/>
          <w:iCs/>
        </w:rPr>
        <w:t>pozemk</w:t>
      </w:r>
      <w:r w:rsidR="00AE4A52">
        <w:rPr>
          <w:rFonts w:cs="Arial"/>
          <w:bCs/>
          <w:iCs/>
        </w:rPr>
        <w:t xml:space="preserve">ů i všech </w:t>
      </w:r>
      <w:r w:rsidR="00B71C4C" w:rsidRPr="0012772D">
        <w:rPr>
          <w:rFonts w:cs="Arial"/>
          <w:bCs/>
          <w:iCs/>
        </w:rPr>
        <w:t>zdaniteln</w:t>
      </w:r>
      <w:r w:rsidR="00AE4A52">
        <w:rPr>
          <w:rFonts w:cs="Arial"/>
          <w:bCs/>
          <w:iCs/>
        </w:rPr>
        <w:t>ých</w:t>
      </w:r>
      <w:r w:rsidR="00B71C4C" w:rsidRPr="0012772D">
        <w:rPr>
          <w:rFonts w:cs="Arial"/>
          <w:bCs/>
          <w:iCs/>
        </w:rPr>
        <w:t xml:space="preserve"> stav</w:t>
      </w:r>
      <w:r w:rsidR="00AE4A52">
        <w:rPr>
          <w:rFonts w:cs="Arial"/>
          <w:bCs/>
          <w:iCs/>
        </w:rPr>
        <w:t>eb</w:t>
      </w:r>
      <w:r w:rsidR="00B71C4C" w:rsidRPr="0012772D">
        <w:rPr>
          <w:rFonts w:cs="Arial"/>
          <w:bCs/>
          <w:iCs/>
        </w:rPr>
        <w:t xml:space="preserve"> </w:t>
      </w:r>
      <w:r w:rsidR="00AE4A52">
        <w:rPr>
          <w:rFonts w:cs="Arial"/>
          <w:bCs/>
          <w:iCs/>
        </w:rPr>
        <w:t xml:space="preserve">stojících </w:t>
      </w:r>
      <w:r w:rsidR="00B71C4C">
        <w:rPr>
          <w:rFonts w:cs="Arial"/>
          <w:bCs/>
          <w:iCs/>
        </w:rPr>
        <w:t xml:space="preserve">na těchto pozemcích </w:t>
      </w:r>
      <w:r w:rsidR="00B71C4C" w:rsidRPr="0012772D">
        <w:rPr>
          <w:rFonts w:cs="Arial"/>
          <w:bCs/>
          <w:iCs/>
        </w:rPr>
        <w:t>a </w:t>
      </w:r>
      <w:r w:rsidR="00B71C4C">
        <w:rPr>
          <w:rFonts w:cs="Arial"/>
          <w:bCs/>
          <w:iCs/>
        </w:rPr>
        <w:t xml:space="preserve">všech </w:t>
      </w:r>
      <w:r w:rsidR="00B71C4C" w:rsidRPr="0012772D">
        <w:rPr>
          <w:rFonts w:cs="Arial"/>
          <w:bCs/>
          <w:iCs/>
        </w:rPr>
        <w:t>zdaniteln</w:t>
      </w:r>
      <w:r w:rsidR="00AE4A52">
        <w:rPr>
          <w:rFonts w:cs="Arial"/>
          <w:bCs/>
          <w:iCs/>
        </w:rPr>
        <w:t>ých</w:t>
      </w:r>
      <w:r w:rsidR="00B71C4C" w:rsidRPr="0012772D">
        <w:rPr>
          <w:rFonts w:cs="Arial"/>
          <w:bCs/>
          <w:iCs/>
        </w:rPr>
        <w:t xml:space="preserve"> jednot</w:t>
      </w:r>
      <w:r w:rsidR="00AE4A52">
        <w:rPr>
          <w:rFonts w:cs="Arial"/>
          <w:bCs/>
          <w:iCs/>
        </w:rPr>
        <w:t>ek</w:t>
      </w:r>
      <w:r w:rsidR="00B71C4C">
        <w:rPr>
          <w:rFonts w:cs="Arial"/>
          <w:bCs/>
          <w:iCs/>
        </w:rPr>
        <w:t xml:space="preserve"> </w:t>
      </w:r>
      <w:r w:rsidR="00B71C4C" w:rsidRPr="0012772D">
        <w:rPr>
          <w:rFonts w:cs="Arial"/>
          <w:iCs/>
        </w:rPr>
        <w:t>ve stavbách stojících na těchto pozemcích</w:t>
      </w:r>
    </w:p>
    <w:p w:rsidR="001C507E" w:rsidRDefault="001C507E" w:rsidP="00D421EC">
      <w:pPr>
        <w:spacing w:line="276" w:lineRule="auto"/>
        <w:rPr>
          <w:rFonts w:cs="Arial"/>
          <w:iCs/>
        </w:rPr>
      </w:pPr>
    </w:p>
    <w:tbl>
      <w:tblPr>
        <w:tblW w:w="5300" w:type="dxa"/>
        <w:tblInd w:w="80" w:type="dxa"/>
        <w:tblCellMar>
          <w:left w:w="70" w:type="dxa"/>
          <w:right w:w="70" w:type="dxa"/>
        </w:tblCellMar>
        <w:tblLook w:val="04A0" w:firstRow="1" w:lastRow="0" w:firstColumn="1" w:lastColumn="0" w:noHBand="0" w:noVBand="1"/>
      </w:tblPr>
      <w:tblGrid>
        <w:gridCol w:w="2200"/>
        <w:gridCol w:w="1520"/>
        <w:gridCol w:w="1580"/>
      </w:tblGrid>
      <w:tr w:rsidR="00DD6FDB" w:rsidRPr="00DD6FDB" w:rsidTr="00DD6FDB">
        <w:trPr>
          <w:trHeight w:val="480"/>
        </w:trPr>
        <w:tc>
          <w:tcPr>
            <w:tcW w:w="22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D6FDB" w:rsidRPr="00DD6FDB" w:rsidRDefault="00DD6FDB" w:rsidP="00DD6FDB">
            <w:pPr>
              <w:spacing w:line="240" w:lineRule="auto"/>
              <w:jc w:val="center"/>
              <w:rPr>
                <w:rFonts w:ascii="Calibri" w:hAnsi="Calibri" w:cs="Calibri"/>
                <w:b/>
                <w:bCs/>
                <w:szCs w:val="24"/>
              </w:rPr>
            </w:pPr>
            <w:r w:rsidRPr="00DD6FDB">
              <w:rPr>
                <w:rFonts w:ascii="Calibri" w:hAnsi="Calibri" w:cs="Calibri"/>
                <w:b/>
                <w:bCs/>
                <w:szCs w:val="24"/>
              </w:rPr>
              <w:t>Katastr</w:t>
            </w:r>
          </w:p>
        </w:tc>
        <w:tc>
          <w:tcPr>
            <w:tcW w:w="1520" w:type="dxa"/>
            <w:tcBorders>
              <w:top w:val="single" w:sz="8" w:space="0" w:color="auto"/>
              <w:left w:val="nil"/>
              <w:bottom w:val="single" w:sz="8" w:space="0" w:color="auto"/>
              <w:right w:val="single" w:sz="4" w:space="0" w:color="auto"/>
            </w:tcBorders>
            <w:shd w:val="clear" w:color="auto" w:fill="auto"/>
            <w:noWrap/>
            <w:vAlign w:val="center"/>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Parcela</w:t>
            </w:r>
          </w:p>
        </w:tc>
        <w:tc>
          <w:tcPr>
            <w:tcW w:w="1580" w:type="dxa"/>
            <w:tcBorders>
              <w:top w:val="single" w:sz="8" w:space="0" w:color="auto"/>
              <w:left w:val="nil"/>
              <w:bottom w:val="single" w:sz="8" w:space="0" w:color="auto"/>
              <w:right w:val="single" w:sz="8" w:space="0" w:color="auto"/>
            </w:tcBorders>
            <w:shd w:val="clear" w:color="auto" w:fill="auto"/>
            <w:noWrap/>
            <w:vAlign w:val="center"/>
            <w:hideMark/>
          </w:tcPr>
          <w:p w:rsidR="00DD6FDB" w:rsidRPr="00DD6FDB" w:rsidRDefault="00DD6FDB" w:rsidP="00DD6FDB">
            <w:pPr>
              <w:spacing w:line="240" w:lineRule="auto"/>
              <w:jc w:val="center"/>
              <w:rPr>
                <w:rFonts w:ascii="Calibri" w:hAnsi="Calibri" w:cs="Calibri"/>
                <w:b/>
                <w:bCs/>
                <w:szCs w:val="24"/>
              </w:rPr>
            </w:pPr>
            <w:r w:rsidRPr="00DD6FDB">
              <w:rPr>
                <w:rFonts w:ascii="Calibri" w:hAnsi="Calibri" w:cs="Calibri"/>
                <w:b/>
                <w:bCs/>
                <w:szCs w:val="24"/>
              </w:rPr>
              <w:t xml:space="preserve">Typ parcely </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2843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4001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4007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4168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4299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4391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1480/3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1548/6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2838/1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3453/6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3475/2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3481/26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870/8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1038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1534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1966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2175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2177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2179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2182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2287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2294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2295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2309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2334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4639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4640</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lastRenderedPageBreak/>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4649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5765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6204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6661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6957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7057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7058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7131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7256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7345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7346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7413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7648</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7789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7874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1464/1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1464/2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000000" w:fill="FFFFFF"/>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000000" w:fill="FFFFFF"/>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2176/1</w:t>
            </w:r>
          </w:p>
        </w:tc>
        <w:tc>
          <w:tcPr>
            <w:tcW w:w="1580" w:type="dxa"/>
            <w:tcBorders>
              <w:top w:val="nil"/>
              <w:left w:val="nil"/>
              <w:bottom w:val="single" w:sz="4" w:space="0" w:color="auto"/>
              <w:right w:val="single" w:sz="4" w:space="0" w:color="auto"/>
            </w:tcBorders>
            <w:shd w:val="clear" w:color="000000" w:fill="FFFFFF"/>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2176/2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2296/1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2296/2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2296/4</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2308/1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2310/1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2312/2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2314/1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3264/1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3264/3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3264/5</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484/1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484/2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484/3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485/1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485/2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488/1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488/2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488/6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488/7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554/2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lastRenderedPageBreak/>
              <w:t>Havlíčkův Brod</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554/3</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Perknov</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809</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Perknov</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276/7</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pozemková</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Perknov</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36</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Perknov</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58/1</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r w:rsidR="00DD6FDB" w:rsidRPr="00DD6FDB" w:rsidTr="00DD6FDB">
        <w:trPr>
          <w:trHeight w:val="315"/>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Perknov</w:t>
            </w:r>
          </w:p>
        </w:tc>
        <w:tc>
          <w:tcPr>
            <w:tcW w:w="152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b/>
                <w:bCs/>
                <w:szCs w:val="24"/>
              </w:rPr>
            </w:pPr>
            <w:r w:rsidRPr="00DD6FDB">
              <w:rPr>
                <w:rFonts w:ascii="Calibri" w:hAnsi="Calibri" w:cs="Calibri"/>
                <w:b/>
                <w:bCs/>
                <w:szCs w:val="24"/>
              </w:rPr>
              <w:t>58/2</w:t>
            </w:r>
          </w:p>
        </w:tc>
        <w:tc>
          <w:tcPr>
            <w:tcW w:w="1580" w:type="dxa"/>
            <w:tcBorders>
              <w:top w:val="nil"/>
              <w:left w:val="nil"/>
              <w:bottom w:val="single" w:sz="4" w:space="0" w:color="auto"/>
              <w:right w:val="single" w:sz="4" w:space="0" w:color="auto"/>
            </w:tcBorders>
            <w:shd w:val="clear" w:color="auto" w:fill="auto"/>
            <w:noWrap/>
            <w:vAlign w:val="bottom"/>
            <w:hideMark/>
          </w:tcPr>
          <w:p w:rsidR="00DD6FDB" w:rsidRPr="00DD6FDB" w:rsidRDefault="00DD6FDB" w:rsidP="00DD6FDB">
            <w:pPr>
              <w:spacing w:line="240" w:lineRule="auto"/>
              <w:rPr>
                <w:rFonts w:ascii="Calibri" w:hAnsi="Calibri" w:cs="Calibri"/>
                <w:szCs w:val="24"/>
              </w:rPr>
            </w:pPr>
            <w:r w:rsidRPr="00DD6FDB">
              <w:rPr>
                <w:rFonts w:ascii="Calibri" w:hAnsi="Calibri" w:cs="Calibri"/>
                <w:szCs w:val="24"/>
              </w:rPr>
              <w:t>stavební</w:t>
            </w:r>
          </w:p>
        </w:tc>
      </w:tr>
    </w:tbl>
    <w:p w:rsidR="00327EDD" w:rsidRDefault="00327EDD" w:rsidP="00341479">
      <w:pPr>
        <w:pBdr>
          <w:bottom w:val="single" w:sz="12" w:space="2" w:color="auto"/>
        </w:pBdr>
        <w:spacing w:line="276" w:lineRule="auto"/>
        <w:rPr>
          <w:rFonts w:cs="Arial"/>
          <w:iCs/>
        </w:rPr>
      </w:pPr>
    </w:p>
    <w:p w:rsidR="00341479" w:rsidRDefault="00341479" w:rsidP="00341479">
      <w:pPr>
        <w:pBdr>
          <w:bottom w:val="single" w:sz="12" w:space="2" w:color="auto"/>
        </w:pBdr>
        <w:spacing w:line="276" w:lineRule="auto"/>
        <w:rPr>
          <w:rFonts w:cs="Arial"/>
          <w:iCs/>
        </w:rPr>
      </w:pPr>
    </w:p>
    <w:p w:rsidR="00341479" w:rsidRDefault="00341479" w:rsidP="00341479">
      <w:pPr>
        <w:pBdr>
          <w:bottom w:val="single" w:sz="12" w:space="2" w:color="auto"/>
        </w:pBdr>
        <w:spacing w:line="276" w:lineRule="auto"/>
        <w:rPr>
          <w:rFonts w:cs="Arial"/>
          <w:iCs/>
        </w:rPr>
      </w:pPr>
    </w:p>
    <w:p w:rsidR="00341479" w:rsidRDefault="00341479" w:rsidP="00341479">
      <w:pPr>
        <w:pBdr>
          <w:bottom w:val="single" w:sz="12" w:space="2" w:color="auto"/>
        </w:pBdr>
        <w:spacing w:line="276" w:lineRule="auto"/>
        <w:rPr>
          <w:rFonts w:cs="Arial"/>
          <w:iCs/>
        </w:rPr>
      </w:pPr>
    </w:p>
    <w:p w:rsidR="00341479" w:rsidRDefault="00341479" w:rsidP="00341479">
      <w:pPr>
        <w:pBdr>
          <w:bottom w:val="single" w:sz="12" w:space="2" w:color="auto"/>
        </w:pBdr>
        <w:spacing w:line="276" w:lineRule="auto"/>
        <w:jc w:val="center"/>
        <w:rPr>
          <w:rFonts w:cs="Arial"/>
          <w:iCs/>
        </w:rPr>
      </w:pPr>
      <w:r>
        <w:rPr>
          <w:rFonts w:cs="Arial"/>
          <w:iCs/>
        </w:rPr>
        <w:t>Zbyněk Stejskal</w:t>
      </w:r>
    </w:p>
    <w:p w:rsidR="00341479" w:rsidRDefault="00341479" w:rsidP="00341479">
      <w:pPr>
        <w:pBdr>
          <w:bottom w:val="single" w:sz="12" w:space="2" w:color="auto"/>
        </w:pBdr>
        <w:spacing w:line="276" w:lineRule="auto"/>
        <w:jc w:val="center"/>
        <w:rPr>
          <w:rFonts w:cs="Arial"/>
          <w:iCs/>
        </w:rPr>
      </w:pPr>
      <w:r>
        <w:rPr>
          <w:rFonts w:cs="Arial"/>
          <w:iCs/>
        </w:rPr>
        <w:t>starosta</w:t>
      </w:r>
    </w:p>
    <w:p w:rsidR="00341479" w:rsidRDefault="00341479" w:rsidP="00341479">
      <w:pPr>
        <w:pBdr>
          <w:bottom w:val="single" w:sz="12" w:space="2" w:color="auto"/>
        </w:pBdr>
        <w:spacing w:line="276" w:lineRule="auto"/>
        <w:rPr>
          <w:rFonts w:cs="Arial"/>
          <w:iCs/>
        </w:rPr>
      </w:pPr>
    </w:p>
    <w:p w:rsidR="00341479" w:rsidRDefault="00341479" w:rsidP="00341479">
      <w:pPr>
        <w:pBdr>
          <w:bottom w:val="single" w:sz="12" w:space="2" w:color="auto"/>
        </w:pBdr>
        <w:spacing w:line="276" w:lineRule="auto"/>
        <w:rPr>
          <w:rFonts w:cs="Arial"/>
          <w:iCs/>
        </w:rPr>
      </w:pPr>
    </w:p>
    <w:p w:rsidR="00341479" w:rsidRDefault="00341479" w:rsidP="00341479">
      <w:pPr>
        <w:pStyle w:val="VyPodpisy"/>
        <w:spacing w:line="240" w:lineRule="auto"/>
        <w:outlineLvl w:val="0"/>
        <w:rPr>
          <w:b w:val="0"/>
          <w:caps w:val="0"/>
        </w:rPr>
      </w:pPr>
    </w:p>
    <w:p w:rsidR="00DD6FDB" w:rsidRPr="00BF3DEA" w:rsidRDefault="00DD6FDB" w:rsidP="00D421EC">
      <w:pPr>
        <w:spacing w:line="276" w:lineRule="auto"/>
        <w:rPr>
          <w:rFonts w:cs="Arial"/>
          <w:i/>
          <w:iCs/>
        </w:rPr>
      </w:pPr>
    </w:p>
    <w:p w:rsidR="00D421EC" w:rsidRPr="00D421EC" w:rsidRDefault="00D421EC" w:rsidP="001C385D">
      <w:pPr>
        <w:spacing w:line="276" w:lineRule="auto"/>
        <w:jc w:val="both"/>
        <w:rPr>
          <w:rFonts w:cs="Arial"/>
          <w:iCs/>
        </w:rPr>
      </w:pPr>
      <w:r w:rsidRPr="00D421EC">
        <w:rPr>
          <w:rFonts w:cs="Arial"/>
          <w:iCs/>
        </w:rPr>
        <w:t xml:space="preserve">V souladu s § 172 odst. 1 správního řádu doručuje </w:t>
      </w:r>
      <w:r>
        <w:rPr>
          <w:rFonts w:cs="Arial"/>
          <w:iCs/>
        </w:rPr>
        <w:t xml:space="preserve">město Havlíčkův Brod </w:t>
      </w:r>
      <w:r w:rsidRPr="00D421EC">
        <w:rPr>
          <w:rFonts w:cs="Arial"/>
          <w:iCs/>
        </w:rPr>
        <w:t>tento návrh opatření</w:t>
      </w:r>
    </w:p>
    <w:p w:rsidR="00D421EC" w:rsidRPr="00D421EC" w:rsidRDefault="00D421EC" w:rsidP="001C385D">
      <w:pPr>
        <w:spacing w:line="276" w:lineRule="auto"/>
        <w:jc w:val="both"/>
        <w:rPr>
          <w:rFonts w:cs="Arial"/>
          <w:iCs/>
        </w:rPr>
      </w:pPr>
      <w:r w:rsidRPr="00D421EC">
        <w:rPr>
          <w:rFonts w:cs="Arial"/>
          <w:iCs/>
        </w:rPr>
        <w:t>obecné povahy dotčeným osobám veřejnou vyhláškou. Doručení veře</w:t>
      </w:r>
      <w:r w:rsidR="00E4183F">
        <w:rPr>
          <w:rFonts w:cs="Arial"/>
          <w:iCs/>
        </w:rPr>
        <w:t xml:space="preserve">jnou vyhláškou se provádí dle § </w:t>
      </w:r>
      <w:r w:rsidRPr="00D421EC">
        <w:rPr>
          <w:rFonts w:cs="Arial"/>
          <w:iCs/>
        </w:rPr>
        <w:t xml:space="preserve">25 správního řádu vyvěšením návrhu opatření obecné povahy na úřední desce </w:t>
      </w:r>
      <w:r w:rsidR="00E4183F">
        <w:rPr>
          <w:rFonts w:cs="Arial"/>
          <w:iCs/>
        </w:rPr>
        <w:t xml:space="preserve">města </w:t>
      </w:r>
      <w:r w:rsidRPr="00D421EC">
        <w:rPr>
          <w:rFonts w:cs="Arial"/>
          <w:iCs/>
        </w:rPr>
        <w:t>a jeho zveřejněním způsobem umožňujícím dálkový přístup. Návrh opatření obecné povahy</w:t>
      </w:r>
    </w:p>
    <w:p w:rsidR="00D421EC" w:rsidRPr="00D421EC" w:rsidRDefault="00D421EC" w:rsidP="001C385D">
      <w:pPr>
        <w:spacing w:line="276" w:lineRule="auto"/>
        <w:jc w:val="both"/>
        <w:rPr>
          <w:rFonts w:cs="Arial"/>
          <w:iCs/>
        </w:rPr>
      </w:pPr>
      <w:r w:rsidRPr="00D421EC">
        <w:rPr>
          <w:rFonts w:cs="Arial"/>
          <w:iCs/>
        </w:rPr>
        <w:t>bude zveřejněn nejméně po dobu 15 dnů. Patnáctým dnem po jeho</w:t>
      </w:r>
      <w:r w:rsidR="006E2042">
        <w:rPr>
          <w:rFonts w:cs="Arial"/>
          <w:iCs/>
        </w:rPr>
        <w:t xml:space="preserve"> zveřejnění (vyvěšení na úřední </w:t>
      </w:r>
      <w:r w:rsidRPr="00D421EC">
        <w:rPr>
          <w:rFonts w:cs="Arial"/>
          <w:iCs/>
        </w:rPr>
        <w:t>desce a zveřejnění způsobem umožňujícím dálkový přístup) bu</w:t>
      </w:r>
      <w:r w:rsidR="006E2042">
        <w:rPr>
          <w:rFonts w:cs="Arial"/>
          <w:iCs/>
        </w:rPr>
        <w:t xml:space="preserve">de návrh opatření obecné povahy </w:t>
      </w:r>
      <w:r w:rsidRPr="00D421EC">
        <w:rPr>
          <w:rFonts w:cs="Arial"/>
          <w:iCs/>
        </w:rPr>
        <w:t>považován za doručený.</w:t>
      </w:r>
    </w:p>
    <w:p w:rsidR="006E2042" w:rsidRDefault="006E2042" w:rsidP="001C385D">
      <w:pPr>
        <w:spacing w:line="276" w:lineRule="auto"/>
        <w:jc w:val="both"/>
        <w:rPr>
          <w:rFonts w:cs="Arial"/>
          <w:iCs/>
        </w:rPr>
      </w:pPr>
    </w:p>
    <w:p w:rsidR="007427AE" w:rsidRDefault="00D421EC" w:rsidP="001C385D">
      <w:pPr>
        <w:spacing w:line="276" w:lineRule="auto"/>
        <w:jc w:val="both"/>
        <w:rPr>
          <w:rFonts w:cs="Arial"/>
          <w:iCs/>
        </w:rPr>
      </w:pPr>
      <w:r w:rsidRPr="00D421EC">
        <w:rPr>
          <w:rFonts w:cs="Arial"/>
          <w:iCs/>
        </w:rPr>
        <w:t>K návrhu opatření obecné povahy může ve smyslu § 172 odst. 4 správ</w:t>
      </w:r>
      <w:r w:rsidR="006E2042">
        <w:rPr>
          <w:rFonts w:cs="Arial"/>
          <w:iCs/>
        </w:rPr>
        <w:t xml:space="preserve">ního řádu kdokoli, jehož práva, </w:t>
      </w:r>
      <w:r w:rsidRPr="00D421EC">
        <w:rPr>
          <w:rFonts w:cs="Arial"/>
          <w:iCs/>
        </w:rPr>
        <w:t xml:space="preserve">povinnosti nebo zájmy mohou být opatřením obecné povahy </w:t>
      </w:r>
      <w:r w:rsidR="006E2042">
        <w:rPr>
          <w:rFonts w:cs="Arial"/>
          <w:iCs/>
        </w:rPr>
        <w:t xml:space="preserve">přímo dotčeny, uplatnit </w:t>
      </w:r>
      <w:r w:rsidR="007427AE">
        <w:rPr>
          <w:rFonts w:cs="Arial"/>
          <w:iCs/>
        </w:rPr>
        <w:t xml:space="preserve">u správního orgánu </w:t>
      </w:r>
      <w:r w:rsidR="006E2042">
        <w:rPr>
          <w:rFonts w:cs="Arial"/>
          <w:iCs/>
        </w:rPr>
        <w:t xml:space="preserve">písemné </w:t>
      </w:r>
      <w:r w:rsidRPr="00D421EC">
        <w:rPr>
          <w:rFonts w:cs="Arial"/>
          <w:iCs/>
        </w:rPr>
        <w:t>připomínky.</w:t>
      </w:r>
      <w:r w:rsidR="001C385D">
        <w:rPr>
          <w:rFonts w:cs="Arial"/>
          <w:iCs/>
        </w:rPr>
        <w:t xml:space="preserve"> </w:t>
      </w:r>
      <w:r w:rsidR="007427AE">
        <w:rPr>
          <w:rFonts w:cs="Arial"/>
          <w:iCs/>
        </w:rPr>
        <w:t>Správní orgán je povinen se připomínkami zabývat jako podkladem pro opatření obecné povahy a vypořádat se s nimi v jeho odůvodnění.</w:t>
      </w:r>
      <w:r w:rsidR="00241935">
        <w:rPr>
          <w:rFonts w:cs="Arial"/>
          <w:iCs/>
        </w:rPr>
        <w:t xml:space="preserve"> Pro podávání písemných připomínek dotčených osob správní orgán stanovuje lhůtu 30 dnů ode dne zveřejnění. </w:t>
      </w:r>
    </w:p>
    <w:p w:rsidR="007427AE" w:rsidRDefault="007427AE" w:rsidP="001C385D">
      <w:pPr>
        <w:spacing w:line="276" w:lineRule="auto"/>
        <w:jc w:val="both"/>
        <w:rPr>
          <w:rFonts w:cs="Arial"/>
          <w:iCs/>
        </w:rPr>
      </w:pPr>
    </w:p>
    <w:p w:rsidR="007427AE" w:rsidRPr="007427AE" w:rsidRDefault="007427AE" w:rsidP="001C385D">
      <w:pPr>
        <w:pStyle w:val="Default"/>
        <w:spacing w:line="276" w:lineRule="auto"/>
        <w:jc w:val="both"/>
      </w:pPr>
      <w:r w:rsidRPr="007427AE">
        <w:t xml:space="preserve">Vlastníci nemovitostí, jejichž práva, povinnosti nebo zájmy související s výkonem vlastnického práva mohou být opatřením obecné povahy přímo dotčeny, mohou </w:t>
      </w:r>
      <w:r>
        <w:t xml:space="preserve">podle § 172 odst. 5 správního řádu </w:t>
      </w:r>
      <w:r w:rsidRPr="007427AE">
        <w:t xml:space="preserve">podat proti návrhu opatření obecné povahy písemné odůvodněné námitky ke správnímu orgánu ve lhůtě 30 dnů ode dne jeho zveřejnění. Zmeškání úkonu nelze prominout. O námitkách rozhoduje </w:t>
      </w:r>
      <w:r w:rsidR="00F21D00">
        <w:t xml:space="preserve">Zastupitelstvo města Havlíčkův Brod. </w:t>
      </w:r>
      <w:r w:rsidRPr="007427AE">
        <w:t xml:space="preserve"> Jestliže by vyřízení námitky vedlo k řešení, které přímo ovlivní oprávněné zájmy některé osoby jiným způsobem než návrh opatření obecné povahy, a není-li změna zjevně též v její prospěch, zjistí správní orgán její stanovisko.</w:t>
      </w:r>
      <w:r w:rsidR="00F21D00">
        <w:t xml:space="preserve"> Rozhodnutí o námitkách, které musí obsahovat vlastní odůvodnění, se uvede jako součást odůvodnění opatření obecné povahy. Proti rozhodnutí se nelze odvolat. </w:t>
      </w:r>
    </w:p>
    <w:p w:rsidR="00F21D00" w:rsidRDefault="00F21D00" w:rsidP="001C385D">
      <w:pPr>
        <w:spacing w:line="276" w:lineRule="auto"/>
        <w:jc w:val="both"/>
        <w:rPr>
          <w:rFonts w:cs="Arial"/>
          <w:iCs/>
        </w:rPr>
      </w:pPr>
    </w:p>
    <w:p w:rsidR="00D421EC" w:rsidRPr="00D421EC" w:rsidRDefault="00D421EC" w:rsidP="001C385D">
      <w:pPr>
        <w:spacing w:line="276" w:lineRule="auto"/>
        <w:jc w:val="both"/>
        <w:rPr>
          <w:rFonts w:cs="Arial"/>
          <w:iCs/>
        </w:rPr>
      </w:pPr>
      <w:r w:rsidRPr="00D421EC">
        <w:rPr>
          <w:rFonts w:cs="Arial"/>
          <w:iCs/>
        </w:rPr>
        <w:lastRenderedPageBreak/>
        <w:t xml:space="preserve">Zastupitelstvo města </w:t>
      </w:r>
      <w:r w:rsidR="000911E9">
        <w:rPr>
          <w:rFonts w:cs="Arial"/>
          <w:iCs/>
        </w:rPr>
        <w:t xml:space="preserve">Havlíčkův Brod </w:t>
      </w:r>
      <w:r w:rsidRPr="00D421EC">
        <w:rPr>
          <w:rFonts w:cs="Arial"/>
          <w:iCs/>
        </w:rPr>
        <w:t xml:space="preserve"> tímto vyzývá v souladu s § 172 odst. 1 správního řádu </w:t>
      </w:r>
      <w:r w:rsidR="00241935">
        <w:rPr>
          <w:rFonts w:cs="Arial"/>
          <w:iCs/>
        </w:rPr>
        <w:t xml:space="preserve">dočené </w:t>
      </w:r>
      <w:r w:rsidRPr="00D421EC">
        <w:rPr>
          <w:rFonts w:cs="Arial"/>
          <w:iCs/>
        </w:rPr>
        <w:t xml:space="preserve">osoby, aby </w:t>
      </w:r>
      <w:r w:rsidR="00241935">
        <w:rPr>
          <w:rFonts w:cs="Arial"/>
          <w:iCs/>
        </w:rPr>
        <w:t xml:space="preserve">k návrhu podávaly námitky či připomínky. Připomínky či námitky lze podat ve lhůtě 30 dnů ode dne zveřejnění návrhu opatření obecné povahy. </w:t>
      </w:r>
    </w:p>
    <w:p w:rsidR="00DD6FDB" w:rsidRDefault="00DD6FDB" w:rsidP="001C385D">
      <w:pPr>
        <w:spacing w:line="276" w:lineRule="auto"/>
        <w:jc w:val="both"/>
        <w:rPr>
          <w:rFonts w:cs="Arial"/>
          <w:iCs/>
        </w:rPr>
      </w:pPr>
    </w:p>
    <w:p w:rsidR="000911E9" w:rsidRDefault="000911E9" w:rsidP="001C385D">
      <w:pPr>
        <w:spacing w:line="276" w:lineRule="auto"/>
        <w:jc w:val="both"/>
        <w:rPr>
          <w:rFonts w:cs="Arial"/>
          <w:iCs/>
        </w:rPr>
      </w:pPr>
      <w:r>
        <w:rPr>
          <w:rFonts w:cs="Arial"/>
          <w:iCs/>
        </w:rPr>
        <w:t>Písemné připomínky a námitky k návrhu podávejte na adresu: Město Havlíčkův Brod, ekonomický odbor, Havlíčkovo náměstí 57, 580 01  Havlíčkův Brod.</w:t>
      </w:r>
    </w:p>
    <w:p w:rsidR="000911E9" w:rsidRDefault="000911E9" w:rsidP="001C385D">
      <w:pPr>
        <w:spacing w:line="276" w:lineRule="auto"/>
        <w:jc w:val="both"/>
        <w:rPr>
          <w:rFonts w:cs="Arial"/>
          <w:iCs/>
        </w:rPr>
      </w:pPr>
    </w:p>
    <w:p w:rsidR="00AF65AE" w:rsidRDefault="00197346" w:rsidP="00084A86">
      <w:pPr>
        <w:pStyle w:val="VyBod"/>
        <w:spacing w:line="240" w:lineRule="auto"/>
        <w:jc w:val="both"/>
      </w:pPr>
      <w:r>
        <w:t xml:space="preserve">. </w:t>
      </w:r>
    </w:p>
    <w:p w:rsidR="00C83CF8" w:rsidRDefault="00C83CF8">
      <w:pPr>
        <w:pStyle w:val="VyBod"/>
        <w:spacing w:line="240" w:lineRule="auto"/>
      </w:pPr>
    </w:p>
    <w:p w:rsidR="00341479" w:rsidRDefault="00341479">
      <w:pPr>
        <w:pStyle w:val="VyBod"/>
        <w:spacing w:line="240" w:lineRule="auto"/>
      </w:pPr>
      <w:bookmarkStart w:id="0" w:name="_GoBack"/>
      <w:bookmarkEnd w:id="0"/>
    </w:p>
    <w:p w:rsidR="00F84AF2" w:rsidRDefault="00F84AF2">
      <w:pPr>
        <w:pStyle w:val="VyBod"/>
        <w:spacing w:line="240" w:lineRule="auto"/>
      </w:pPr>
    </w:p>
    <w:p w:rsidR="00AF65AE" w:rsidRDefault="00AF65AE">
      <w:pPr>
        <w:spacing w:line="240" w:lineRule="auto"/>
      </w:pPr>
    </w:p>
    <w:p w:rsidR="008D24FB" w:rsidRDefault="008D24FB" w:rsidP="008D24FB">
      <w:pPr>
        <w:pStyle w:val="VyPodpisy"/>
        <w:spacing w:line="240" w:lineRule="auto"/>
        <w:outlineLvl w:val="0"/>
        <w:rPr>
          <w:b w:val="0"/>
          <w:caps w:val="0"/>
        </w:rPr>
      </w:pPr>
      <w:r>
        <w:rPr>
          <w:b w:val="0"/>
          <w:caps w:val="0"/>
        </w:rPr>
        <w:t xml:space="preserve">Zbyněk Stejskal  </w:t>
      </w:r>
    </w:p>
    <w:p w:rsidR="008D24FB" w:rsidRDefault="008D24FB" w:rsidP="008D24FB">
      <w:pPr>
        <w:pStyle w:val="VyPodpisy"/>
        <w:spacing w:line="240" w:lineRule="auto"/>
        <w:rPr>
          <w:b w:val="0"/>
          <w:caps w:val="0"/>
        </w:rPr>
      </w:pPr>
      <w:r>
        <w:rPr>
          <w:b w:val="0"/>
          <w:caps w:val="0"/>
        </w:rPr>
        <w:t>starosta</w:t>
      </w:r>
    </w:p>
    <w:p w:rsidR="008D24FB" w:rsidRDefault="008D24FB" w:rsidP="008D24FB">
      <w:pPr>
        <w:pStyle w:val="VyPodpisy"/>
        <w:spacing w:line="240" w:lineRule="auto"/>
        <w:jc w:val="left"/>
        <w:rPr>
          <w:b w:val="0"/>
          <w:caps w:val="0"/>
          <w:sz w:val="28"/>
        </w:rPr>
      </w:pPr>
    </w:p>
    <w:p w:rsidR="00FE649C" w:rsidRDefault="00FE649C">
      <w:pPr>
        <w:pStyle w:val="Zhlav"/>
        <w:tabs>
          <w:tab w:val="center" w:pos="2410"/>
          <w:tab w:val="center" w:pos="8364"/>
        </w:tabs>
        <w:spacing w:line="240" w:lineRule="auto"/>
        <w:rPr>
          <w:b/>
        </w:rPr>
      </w:pPr>
    </w:p>
    <w:p w:rsidR="0050645F" w:rsidRDefault="0050645F" w:rsidP="001C507E">
      <w:pPr>
        <w:pStyle w:val="Zhlav"/>
        <w:tabs>
          <w:tab w:val="center" w:pos="2410"/>
          <w:tab w:val="center" w:pos="8364"/>
        </w:tabs>
        <w:spacing w:line="240" w:lineRule="auto"/>
        <w:rPr>
          <w:b/>
        </w:rPr>
      </w:pPr>
    </w:p>
    <w:sectPr w:rsidR="0050645F" w:rsidSect="00642670">
      <w:headerReference w:type="even" r:id="rId8"/>
      <w:headerReference w:type="default" r:id="rId9"/>
      <w:footerReference w:type="default" r:id="rId10"/>
      <w:headerReference w:type="first" r:id="rId11"/>
      <w:footerReference w:type="first" r:id="rId12"/>
      <w:footnotePr>
        <w:pos w:val="beneathText"/>
      </w:footnotePr>
      <w:pgSz w:w="11906" w:h="16838" w:code="9"/>
      <w:pgMar w:top="1661" w:right="851" w:bottom="425" w:left="851" w:header="397" w:footer="79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C4C" w:rsidRDefault="00B71C4C">
      <w:r>
        <w:separator/>
      </w:r>
    </w:p>
  </w:endnote>
  <w:endnote w:type="continuationSeparator" w:id="0">
    <w:p w:rsidR="00B71C4C" w:rsidRDefault="00B7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4C" w:rsidRDefault="00B71C4C" w:rsidP="00045AFD">
    <w:pPr>
      <w:pStyle w:val="Zpat"/>
      <w:pBdr>
        <w:top w:val="single" w:sz="4" w:space="1" w:color="auto"/>
      </w:pBdr>
      <w:rPr>
        <w:sz w:val="16"/>
      </w:rPr>
    </w:pPr>
  </w:p>
  <w:p w:rsidR="00B71C4C" w:rsidRDefault="00B71C4C" w:rsidP="00045AFD">
    <w:pPr>
      <w:jc w:val="center"/>
    </w:pPr>
    <w:r>
      <w:rPr>
        <w:rStyle w:val="slostrnky"/>
      </w:rPr>
      <w:fldChar w:fldCharType="begin"/>
    </w:r>
    <w:r>
      <w:rPr>
        <w:rStyle w:val="slostrnky"/>
      </w:rPr>
      <w:instrText xml:space="preserve"> PAGE </w:instrText>
    </w:r>
    <w:r>
      <w:rPr>
        <w:rStyle w:val="slostrnky"/>
      </w:rPr>
      <w:fldChar w:fldCharType="separate"/>
    </w:r>
    <w:r w:rsidR="00341479">
      <w:rPr>
        <w:rStyle w:val="slostrnky"/>
        <w:noProof/>
      </w:rPr>
      <w:t>3</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4C" w:rsidRDefault="00B71C4C">
    <w:pPr>
      <w:pStyle w:val="Zpat"/>
      <w:pBdr>
        <w:top w:val="single" w:sz="4" w:space="1" w:color="auto"/>
      </w:pBd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C4C" w:rsidRDefault="00B71C4C">
      <w:r>
        <w:separator/>
      </w:r>
    </w:p>
  </w:footnote>
  <w:footnote w:type="continuationSeparator" w:id="0">
    <w:p w:rsidR="00B71C4C" w:rsidRDefault="00B71C4C">
      <w:r>
        <w:continuationSeparator/>
      </w:r>
    </w:p>
  </w:footnote>
  <w:footnote w:id="1">
    <w:p w:rsidR="00B71C4C" w:rsidRDefault="00B71C4C" w:rsidP="00EE0B25">
      <w:pPr>
        <w:pStyle w:val="Textpoznpodarou"/>
        <w:rPr>
          <w:rFonts w:cs="Arial"/>
          <w:sz w:val="18"/>
          <w:szCs w:val="18"/>
        </w:rPr>
      </w:pPr>
      <w:r>
        <w:rPr>
          <w:rStyle w:val="Znakapoznpodarou"/>
          <w:rFonts w:cs="Arial"/>
          <w:sz w:val="18"/>
          <w:szCs w:val="18"/>
        </w:rPr>
        <w:footnoteRef/>
      </w:r>
      <w:r>
        <w:rPr>
          <w:rFonts w:cs="Arial"/>
          <w:sz w:val="18"/>
          <w:szCs w:val="18"/>
        </w:rPr>
        <w:t xml:space="preserve"> § 12ab odst. 2 a 6 zákona o dani z nemovitých věcí.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4C" w:rsidRDefault="00B71C4C">
    <w:pPr>
      <w:framePr w:wrap="around" w:vAnchor="text" w:hAnchor="margin" w:xAlign="right" w:y="1"/>
    </w:pPr>
    <w:r>
      <w:fldChar w:fldCharType="begin"/>
    </w:r>
    <w:r>
      <w:instrText xml:space="preserve">PAGE  </w:instrText>
    </w:r>
    <w:r>
      <w:fldChar w:fldCharType="separate"/>
    </w:r>
    <w:r>
      <w:t>1</w:t>
    </w:r>
    <w:r>
      <w:fldChar w:fldCharType="end"/>
    </w:r>
  </w:p>
  <w:p w:rsidR="00B71C4C" w:rsidRDefault="00B71C4C">
    <w:pP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4C" w:rsidRPr="00E05A8F" w:rsidRDefault="00B71C4C" w:rsidP="00E06B37">
    <w:pPr>
      <w:pStyle w:val="VyHlavika"/>
      <w:pBdr>
        <w:top w:val="single" w:sz="4" w:space="20" w:color="auto"/>
      </w:pBdr>
      <w:spacing w:before="0" w:after="0"/>
      <w:rPr>
        <w:sz w:val="22"/>
        <w:szCs w:val="22"/>
      </w:rPr>
    </w:pPr>
    <w:r w:rsidRPr="00E05A8F">
      <w:rPr>
        <w:sz w:val="22"/>
        <w:szCs w:val="22"/>
      </w:rPr>
      <w:t>O</w:t>
    </w:r>
    <w:r>
      <w:rPr>
        <w:sz w:val="22"/>
        <w:szCs w:val="22"/>
      </w:rPr>
      <w:t>patření obecné povahy, kterým se stanovuje místní koeficient pro vymezené nemovité věci pro výpočet daně z nemovitých věcí</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4C" w:rsidRDefault="00341479" w:rsidP="002916CD">
    <w:pPr>
      <w:pStyle w:val="VyHlavika"/>
      <w:tabs>
        <w:tab w:val="left" w:pos="1500"/>
      </w:tabs>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4" o:spid="_x0000_s14338" type="#_x0000_t75" alt="hb" style="position:absolute;margin-left:3pt;margin-top:-78.25pt;width:116.65pt;height:32.05pt;z-index:251659264;visibility:visible;mso-position-horizontal-relative:margin;mso-position-vertical-relative:margin">
          <v:imagedata r:id="rId1" o:title="hb"/>
          <w10:wrap anchorx="margin" anchory="margin"/>
        </v:shape>
      </w:pict>
    </w:r>
    <w:r w:rsidR="00B71C4C">
      <w:tab/>
    </w:r>
    <w:r w:rsidR="00B71C4C">
      <w:tab/>
    </w:r>
  </w:p>
  <w:p w:rsidR="00B71C4C" w:rsidRPr="00B66928" w:rsidRDefault="00B71C4C" w:rsidP="002916CD">
    <w:pPr>
      <w:pStyle w:val="VyHlavika"/>
      <w:rPr>
        <w:sz w:val="24"/>
        <w:szCs w:val="24"/>
      </w:rPr>
    </w:pPr>
    <w:r>
      <w:rPr>
        <w:sz w:val="24"/>
        <w:szCs w:val="24"/>
      </w:rPr>
      <w:tab/>
    </w:r>
    <w:r w:rsidRPr="00B66928">
      <w:rPr>
        <w:sz w:val="24"/>
        <w:szCs w:val="24"/>
      </w:rPr>
      <w:t>zastupitelstvo města Havlíčkův Brod</w:t>
    </w:r>
  </w:p>
  <w:p w:rsidR="00B71C4C" w:rsidRDefault="00B71C4C">
    <w:pPr>
      <w:spacing w:line="240" w:lineRule="auto"/>
      <w:jc w:val="center"/>
    </w:pPr>
  </w:p>
  <w:p w:rsidR="00B71C4C" w:rsidRDefault="00B71C4C">
    <w:pPr>
      <w:spacing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6DC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03616D"/>
    <w:multiLevelType w:val="multilevel"/>
    <w:tmpl w:val="4D2AA99A"/>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0330377"/>
    <w:multiLevelType w:val="multilevel"/>
    <w:tmpl w:val="DDF455E2"/>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156C53"/>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554C23"/>
    <w:multiLevelType w:val="multilevel"/>
    <w:tmpl w:val="0405001D"/>
    <w:lvl w:ilvl="0">
      <w:start w:val="1"/>
      <w:numFmt w:val="decimal"/>
      <w:lvlText w:val="%1)"/>
      <w:lvlJc w:val="left"/>
      <w:pPr>
        <w:ind w:left="360" w:hanging="360"/>
      </w:pPr>
    </w:lvl>
    <w:lvl w:ilvl="1">
      <w:start w:val="1"/>
      <w:numFmt w:val="lowerLetter"/>
      <w:lvlText w:val="%2)"/>
      <w:lvlJc w:val="left"/>
      <w:pPr>
        <w:ind w:left="502"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941750"/>
    <w:multiLevelType w:val="hybridMultilevel"/>
    <w:tmpl w:val="3BDE3424"/>
    <w:lvl w:ilvl="0" w:tplc="04050011">
      <w:start w:val="1"/>
      <w:numFmt w:val="decimal"/>
      <w:lvlText w:val="%1)"/>
      <w:lvlJc w:val="left"/>
      <w:pPr>
        <w:tabs>
          <w:tab w:val="num" w:pos="1287"/>
        </w:tabs>
        <w:ind w:left="1287"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65517C0"/>
    <w:multiLevelType w:val="hybridMultilevel"/>
    <w:tmpl w:val="12D6F56E"/>
    <w:lvl w:ilvl="0" w:tplc="04050017">
      <w:start w:val="1"/>
      <w:numFmt w:val="lowerLetter"/>
      <w:lvlText w:val="%1)"/>
      <w:lvlJc w:val="left"/>
      <w:pPr>
        <w:tabs>
          <w:tab w:val="num" w:pos="720"/>
        </w:tabs>
        <w:ind w:left="720" w:hanging="360"/>
      </w:pPr>
    </w:lvl>
    <w:lvl w:ilvl="1" w:tplc="DCD2F372">
      <w:start w:val="2"/>
      <w:numFmt w:val="lowerLetter"/>
      <w:lvlText w:val="%2)"/>
      <w:lvlJc w:val="left"/>
      <w:pPr>
        <w:tabs>
          <w:tab w:val="num" w:pos="1440"/>
        </w:tabs>
        <w:ind w:left="1440" w:hanging="360"/>
      </w:pPr>
      <w:rPr>
        <w:rFonts w:hint="default"/>
      </w:rPr>
    </w:lvl>
    <w:lvl w:ilvl="2" w:tplc="1FB4BFFC">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7F97F59"/>
    <w:multiLevelType w:val="hybridMultilevel"/>
    <w:tmpl w:val="7FFC502A"/>
    <w:lvl w:ilvl="0" w:tplc="8C284BC2">
      <w:start w:val="1"/>
      <w:numFmt w:val="decimal"/>
      <w:lvlText w:val="%1)"/>
      <w:lvlJc w:val="left"/>
      <w:pPr>
        <w:tabs>
          <w:tab w:val="num" w:pos="567"/>
        </w:tabs>
        <w:ind w:left="567" w:hanging="567"/>
      </w:pPr>
      <w:rPr>
        <w:rFonts w:hint="default"/>
        <w:b w:val="0"/>
        <w:i w:val="0"/>
        <w:sz w:val="20"/>
        <w:szCs w:val="20"/>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C165073"/>
    <w:multiLevelType w:val="hybridMultilevel"/>
    <w:tmpl w:val="BB844D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2E2F3B"/>
    <w:multiLevelType w:val="hybridMultilevel"/>
    <w:tmpl w:val="C1BCF9E8"/>
    <w:lvl w:ilvl="0" w:tplc="8C284BC2">
      <w:start w:val="1"/>
      <w:numFmt w:val="decimal"/>
      <w:lvlText w:val="%1)"/>
      <w:lvlJc w:val="left"/>
      <w:pPr>
        <w:tabs>
          <w:tab w:val="num" w:pos="360"/>
        </w:tabs>
        <w:ind w:left="360" w:hanging="360"/>
      </w:pPr>
      <w:rPr>
        <w:rFonts w:hint="default"/>
        <w:b w:val="0"/>
        <w:i w:val="0"/>
        <w:sz w:val="20"/>
        <w:szCs w:val="20"/>
        <w:vertAlign w:val="baseline"/>
      </w:rPr>
    </w:lvl>
    <w:lvl w:ilvl="1" w:tplc="04050011">
      <w:start w:val="1"/>
      <w:numFmt w:val="decimal"/>
      <w:lvlText w:val="%2)"/>
      <w:lvlJc w:val="left"/>
      <w:pPr>
        <w:tabs>
          <w:tab w:val="num" w:pos="1440"/>
        </w:tabs>
        <w:ind w:left="1440" w:hanging="360"/>
      </w:pPr>
      <w:rPr>
        <w:rFonts w:hint="default"/>
        <w:b w:val="0"/>
        <w:i w:val="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2784AC0"/>
    <w:multiLevelType w:val="hybridMultilevel"/>
    <w:tmpl w:val="D7A42E7A"/>
    <w:lvl w:ilvl="0" w:tplc="04050011">
      <w:start w:val="1"/>
      <w:numFmt w:val="decimal"/>
      <w:lvlText w:val="%1)"/>
      <w:lvlJc w:val="left"/>
      <w:pPr>
        <w:tabs>
          <w:tab w:val="num" w:pos="567"/>
        </w:tabs>
        <w:ind w:left="567" w:hanging="567"/>
      </w:pPr>
      <w:rPr>
        <w:rFonts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D9C103A"/>
    <w:multiLevelType w:val="multilevel"/>
    <w:tmpl w:val="E77874EA"/>
    <w:lvl w:ilvl="0">
      <w:start w:val="2"/>
      <w:numFmt w:val="decimal"/>
      <w:lvlText w:val="%1)"/>
      <w:lvlJc w:val="left"/>
      <w:pPr>
        <w:ind w:left="360" w:hanging="360"/>
      </w:pPr>
      <w:rPr>
        <w:rFonts w:hint="default"/>
      </w:rPr>
    </w:lvl>
    <w:lvl w:ilvl="1">
      <w:start w:val="2"/>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8AA07CB"/>
    <w:multiLevelType w:val="hybridMultilevel"/>
    <w:tmpl w:val="D9148A0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66B3EFB"/>
    <w:multiLevelType w:val="multilevel"/>
    <w:tmpl w:val="0AB06BF4"/>
    <w:lvl w:ilvl="0">
      <w:start w:val="1"/>
      <w:numFmt w:val="decimal"/>
      <w:lvlText w:val="%1)"/>
      <w:lvlJc w:val="left"/>
      <w:pPr>
        <w:ind w:left="360" w:hanging="360"/>
      </w:pPr>
      <w:rPr>
        <w:rFonts w:hint="default"/>
        <w:b w:val="0"/>
        <w:i w:val="0"/>
        <w:strike w:val="0"/>
        <w:color w:val="auto"/>
        <w:sz w:val="20"/>
        <w:szCs w:val="20"/>
      </w:rPr>
    </w:lvl>
    <w:lvl w:ilvl="1">
      <w:start w:val="1"/>
      <w:numFmt w:val="lowerLetter"/>
      <w:lvlText w:val="%2)"/>
      <w:lvlJc w:val="left"/>
      <w:pPr>
        <w:ind w:left="720" w:hanging="360"/>
      </w:pPr>
      <w:rPr>
        <w:rFonts w:hint="default"/>
        <w:b w:val="0"/>
        <w:i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6A03043"/>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7"/>
  </w:num>
  <w:num w:numId="3">
    <w:abstractNumId w:val="13"/>
  </w:num>
  <w:num w:numId="4">
    <w:abstractNumId w:val="6"/>
  </w:num>
  <w:num w:numId="5">
    <w:abstractNumId w:val="9"/>
  </w:num>
  <w:num w:numId="6">
    <w:abstractNumId w:val="3"/>
  </w:num>
  <w:num w:numId="7">
    <w:abstractNumId w:val="5"/>
  </w:num>
  <w:num w:numId="8">
    <w:abstractNumId w:val="4"/>
  </w:num>
  <w:num w:numId="9">
    <w:abstractNumId w:val="0"/>
  </w:num>
  <w:num w:numId="10">
    <w:abstractNumId w:val="14"/>
  </w:num>
  <w:num w:numId="11">
    <w:abstractNumId w:val="12"/>
  </w:num>
  <w:num w:numId="12">
    <w:abstractNumId w:val="1"/>
  </w:num>
  <w:num w:numId="13">
    <w:abstractNumId w:val="11"/>
  </w:num>
  <w:num w:numId="14">
    <w:abstractNumId w:val="2"/>
  </w:num>
  <w:num w:numId="1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14339"/>
    <o:shapelayout v:ext="edit">
      <o:idmap v:ext="edit" data="14"/>
    </o:shapelayout>
  </w:hdrShapeDefaults>
  <w:footnotePr>
    <w:pos w:val="beneathText"/>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D6F7D"/>
    <w:rsid w:val="0000416E"/>
    <w:rsid w:val="00006632"/>
    <w:rsid w:val="00010EEF"/>
    <w:rsid w:val="000177C6"/>
    <w:rsid w:val="00032F86"/>
    <w:rsid w:val="000450EF"/>
    <w:rsid w:val="00045AFD"/>
    <w:rsid w:val="00050CA3"/>
    <w:rsid w:val="0005214C"/>
    <w:rsid w:val="00052D2A"/>
    <w:rsid w:val="00057000"/>
    <w:rsid w:val="00057166"/>
    <w:rsid w:val="000607DA"/>
    <w:rsid w:val="00063418"/>
    <w:rsid w:val="000756A7"/>
    <w:rsid w:val="00084816"/>
    <w:rsid w:val="00084A86"/>
    <w:rsid w:val="00085553"/>
    <w:rsid w:val="000869AA"/>
    <w:rsid w:val="00087B0F"/>
    <w:rsid w:val="000911E9"/>
    <w:rsid w:val="000911F1"/>
    <w:rsid w:val="00091D8F"/>
    <w:rsid w:val="000952C4"/>
    <w:rsid w:val="0009563B"/>
    <w:rsid w:val="000A1C88"/>
    <w:rsid w:val="000B1756"/>
    <w:rsid w:val="000B22A8"/>
    <w:rsid w:val="000B2B43"/>
    <w:rsid w:val="000C10EB"/>
    <w:rsid w:val="000C1CC8"/>
    <w:rsid w:val="000C2922"/>
    <w:rsid w:val="000D1916"/>
    <w:rsid w:val="000E3CDE"/>
    <w:rsid w:val="000F7E59"/>
    <w:rsid w:val="00104357"/>
    <w:rsid w:val="00111E35"/>
    <w:rsid w:val="0011297F"/>
    <w:rsid w:val="0011570B"/>
    <w:rsid w:val="0012772D"/>
    <w:rsid w:val="00134AA2"/>
    <w:rsid w:val="00147C3C"/>
    <w:rsid w:val="0015353D"/>
    <w:rsid w:val="00162FAF"/>
    <w:rsid w:val="00171835"/>
    <w:rsid w:val="00175523"/>
    <w:rsid w:val="001762F1"/>
    <w:rsid w:val="00181222"/>
    <w:rsid w:val="0019668F"/>
    <w:rsid w:val="00197346"/>
    <w:rsid w:val="001A580A"/>
    <w:rsid w:val="001B2678"/>
    <w:rsid w:val="001B5527"/>
    <w:rsid w:val="001B7645"/>
    <w:rsid w:val="001C385D"/>
    <w:rsid w:val="001C507E"/>
    <w:rsid w:val="001E3472"/>
    <w:rsid w:val="001E4CF3"/>
    <w:rsid w:val="001F2FC6"/>
    <w:rsid w:val="001F6058"/>
    <w:rsid w:val="00201701"/>
    <w:rsid w:val="0020747E"/>
    <w:rsid w:val="002129A8"/>
    <w:rsid w:val="00217CA7"/>
    <w:rsid w:val="00220B97"/>
    <w:rsid w:val="00222703"/>
    <w:rsid w:val="00222826"/>
    <w:rsid w:val="00231367"/>
    <w:rsid w:val="002323F3"/>
    <w:rsid w:val="00233A13"/>
    <w:rsid w:val="0023492A"/>
    <w:rsid w:val="00234D7E"/>
    <w:rsid w:val="002400EB"/>
    <w:rsid w:val="002414F9"/>
    <w:rsid w:val="00241935"/>
    <w:rsid w:val="00241A70"/>
    <w:rsid w:val="00243E78"/>
    <w:rsid w:val="00253E9C"/>
    <w:rsid w:val="00255256"/>
    <w:rsid w:val="00260A34"/>
    <w:rsid w:val="002615D5"/>
    <w:rsid w:val="00265E3B"/>
    <w:rsid w:val="0028189C"/>
    <w:rsid w:val="002916CD"/>
    <w:rsid w:val="00292CA6"/>
    <w:rsid w:val="00293CAA"/>
    <w:rsid w:val="002950AD"/>
    <w:rsid w:val="002961E5"/>
    <w:rsid w:val="002B00ED"/>
    <w:rsid w:val="002B5B56"/>
    <w:rsid w:val="002C491B"/>
    <w:rsid w:val="002C4AF3"/>
    <w:rsid w:val="002E0266"/>
    <w:rsid w:val="002E6090"/>
    <w:rsid w:val="002F311C"/>
    <w:rsid w:val="003014C0"/>
    <w:rsid w:val="00325E02"/>
    <w:rsid w:val="00327EDD"/>
    <w:rsid w:val="00341479"/>
    <w:rsid w:val="00344893"/>
    <w:rsid w:val="00351DD4"/>
    <w:rsid w:val="00351DDD"/>
    <w:rsid w:val="003529BD"/>
    <w:rsid w:val="00353082"/>
    <w:rsid w:val="0036435E"/>
    <w:rsid w:val="0038214C"/>
    <w:rsid w:val="00383B38"/>
    <w:rsid w:val="00386D50"/>
    <w:rsid w:val="00387F90"/>
    <w:rsid w:val="0039176F"/>
    <w:rsid w:val="00396273"/>
    <w:rsid w:val="003A059B"/>
    <w:rsid w:val="003B0E2A"/>
    <w:rsid w:val="003B4F45"/>
    <w:rsid w:val="003D22BA"/>
    <w:rsid w:val="003F699F"/>
    <w:rsid w:val="00400278"/>
    <w:rsid w:val="004068D6"/>
    <w:rsid w:val="004168CF"/>
    <w:rsid w:val="00416AD4"/>
    <w:rsid w:val="00417574"/>
    <w:rsid w:val="00421CDA"/>
    <w:rsid w:val="00424B2E"/>
    <w:rsid w:val="00436CB0"/>
    <w:rsid w:val="00440E29"/>
    <w:rsid w:val="00444A6A"/>
    <w:rsid w:val="004469E0"/>
    <w:rsid w:val="00456F2A"/>
    <w:rsid w:val="00462E9B"/>
    <w:rsid w:val="00471C30"/>
    <w:rsid w:val="004A27D6"/>
    <w:rsid w:val="004B1A16"/>
    <w:rsid w:val="004B37C6"/>
    <w:rsid w:val="004C2D87"/>
    <w:rsid w:val="004C56F8"/>
    <w:rsid w:val="004C678D"/>
    <w:rsid w:val="004C729E"/>
    <w:rsid w:val="004D5759"/>
    <w:rsid w:val="004E2F47"/>
    <w:rsid w:val="004F4930"/>
    <w:rsid w:val="00500ACB"/>
    <w:rsid w:val="00502681"/>
    <w:rsid w:val="00502DAE"/>
    <w:rsid w:val="00502E28"/>
    <w:rsid w:val="00504D49"/>
    <w:rsid w:val="0050645F"/>
    <w:rsid w:val="005112C3"/>
    <w:rsid w:val="00511B41"/>
    <w:rsid w:val="00525F2D"/>
    <w:rsid w:val="00534BFE"/>
    <w:rsid w:val="00542DAB"/>
    <w:rsid w:val="00546E37"/>
    <w:rsid w:val="00551548"/>
    <w:rsid w:val="00551C84"/>
    <w:rsid w:val="0055636A"/>
    <w:rsid w:val="0057030C"/>
    <w:rsid w:val="00572B63"/>
    <w:rsid w:val="00584F5A"/>
    <w:rsid w:val="0059430C"/>
    <w:rsid w:val="005A0D86"/>
    <w:rsid w:val="005A1492"/>
    <w:rsid w:val="005B0EB2"/>
    <w:rsid w:val="005C4A4C"/>
    <w:rsid w:val="005C55DC"/>
    <w:rsid w:val="005C6117"/>
    <w:rsid w:val="005D466C"/>
    <w:rsid w:val="005D56AB"/>
    <w:rsid w:val="005D6530"/>
    <w:rsid w:val="005E41AC"/>
    <w:rsid w:val="00602645"/>
    <w:rsid w:val="00613B4C"/>
    <w:rsid w:val="0061527B"/>
    <w:rsid w:val="006170F5"/>
    <w:rsid w:val="00622802"/>
    <w:rsid w:val="00632CCE"/>
    <w:rsid w:val="00637F50"/>
    <w:rsid w:val="00642670"/>
    <w:rsid w:val="00645D8A"/>
    <w:rsid w:val="0064631E"/>
    <w:rsid w:val="0066215F"/>
    <w:rsid w:val="0067215E"/>
    <w:rsid w:val="00682C7D"/>
    <w:rsid w:val="00684112"/>
    <w:rsid w:val="00693B77"/>
    <w:rsid w:val="00696A78"/>
    <w:rsid w:val="006A69BE"/>
    <w:rsid w:val="006B0323"/>
    <w:rsid w:val="006C00DE"/>
    <w:rsid w:val="006C0B84"/>
    <w:rsid w:val="006C35FB"/>
    <w:rsid w:val="006D0485"/>
    <w:rsid w:val="006E2042"/>
    <w:rsid w:val="006E64ED"/>
    <w:rsid w:val="00702135"/>
    <w:rsid w:val="00703EDF"/>
    <w:rsid w:val="00731B2F"/>
    <w:rsid w:val="007427AE"/>
    <w:rsid w:val="00770779"/>
    <w:rsid w:val="00773C2B"/>
    <w:rsid w:val="00773DA5"/>
    <w:rsid w:val="00791902"/>
    <w:rsid w:val="007A4CC6"/>
    <w:rsid w:val="007B104B"/>
    <w:rsid w:val="007B2566"/>
    <w:rsid w:val="007B4C74"/>
    <w:rsid w:val="007B7F01"/>
    <w:rsid w:val="007C2D85"/>
    <w:rsid w:val="007C455C"/>
    <w:rsid w:val="007D4994"/>
    <w:rsid w:val="007D6922"/>
    <w:rsid w:val="007D73C9"/>
    <w:rsid w:val="007E67F9"/>
    <w:rsid w:val="007E6C28"/>
    <w:rsid w:val="00803E44"/>
    <w:rsid w:val="008066BF"/>
    <w:rsid w:val="00830D1C"/>
    <w:rsid w:val="00832C3F"/>
    <w:rsid w:val="008372C5"/>
    <w:rsid w:val="00837E05"/>
    <w:rsid w:val="008412B1"/>
    <w:rsid w:val="008424FE"/>
    <w:rsid w:val="00853AF9"/>
    <w:rsid w:val="0085660E"/>
    <w:rsid w:val="00862CC4"/>
    <w:rsid w:val="00871B20"/>
    <w:rsid w:val="0087442C"/>
    <w:rsid w:val="00891890"/>
    <w:rsid w:val="00897673"/>
    <w:rsid w:val="008A735A"/>
    <w:rsid w:val="008B504F"/>
    <w:rsid w:val="008C05C6"/>
    <w:rsid w:val="008C1557"/>
    <w:rsid w:val="008C3C11"/>
    <w:rsid w:val="008C3DAA"/>
    <w:rsid w:val="008C46DC"/>
    <w:rsid w:val="008C67E8"/>
    <w:rsid w:val="008C7647"/>
    <w:rsid w:val="008D0941"/>
    <w:rsid w:val="008D0C61"/>
    <w:rsid w:val="008D24FB"/>
    <w:rsid w:val="008D6787"/>
    <w:rsid w:val="008F1FDB"/>
    <w:rsid w:val="00900FF7"/>
    <w:rsid w:val="00904641"/>
    <w:rsid w:val="00905808"/>
    <w:rsid w:val="00911192"/>
    <w:rsid w:val="009220C1"/>
    <w:rsid w:val="00924781"/>
    <w:rsid w:val="00932CD1"/>
    <w:rsid w:val="00933F3D"/>
    <w:rsid w:val="0093626C"/>
    <w:rsid w:val="0094498B"/>
    <w:rsid w:val="00945976"/>
    <w:rsid w:val="00955A6B"/>
    <w:rsid w:val="00992AA9"/>
    <w:rsid w:val="009A5C9A"/>
    <w:rsid w:val="009A6D5D"/>
    <w:rsid w:val="009B68C1"/>
    <w:rsid w:val="009C3953"/>
    <w:rsid w:val="009C60F1"/>
    <w:rsid w:val="009C6A64"/>
    <w:rsid w:val="009C7755"/>
    <w:rsid w:val="009D0CC0"/>
    <w:rsid w:val="009D6F7D"/>
    <w:rsid w:val="009E4ABB"/>
    <w:rsid w:val="009E53C5"/>
    <w:rsid w:val="009E6EC8"/>
    <w:rsid w:val="009F2DE1"/>
    <w:rsid w:val="00A12353"/>
    <w:rsid w:val="00A165E0"/>
    <w:rsid w:val="00A221C5"/>
    <w:rsid w:val="00A300DA"/>
    <w:rsid w:val="00A325ED"/>
    <w:rsid w:val="00A32E9B"/>
    <w:rsid w:val="00A35CF7"/>
    <w:rsid w:val="00A4588D"/>
    <w:rsid w:val="00A45EF4"/>
    <w:rsid w:val="00A51480"/>
    <w:rsid w:val="00A521E3"/>
    <w:rsid w:val="00A64665"/>
    <w:rsid w:val="00A64DC5"/>
    <w:rsid w:val="00A65413"/>
    <w:rsid w:val="00A6625A"/>
    <w:rsid w:val="00A8176E"/>
    <w:rsid w:val="00A87A62"/>
    <w:rsid w:val="00A94311"/>
    <w:rsid w:val="00A97583"/>
    <w:rsid w:val="00AA323A"/>
    <w:rsid w:val="00AA740B"/>
    <w:rsid w:val="00AB39B0"/>
    <w:rsid w:val="00AC4C58"/>
    <w:rsid w:val="00AD2115"/>
    <w:rsid w:val="00AE4A52"/>
    <w:rsid w:val="00AF65AE"/>
    <w:rsid w:val="00B2177C"/>
    <w:rsid w:val="00B223CE"/>
    <w:rsid w:val="00B25303"/>
    <w:rsid w:val="00B3174E"/>
    <w:rsid w:val="00B347A1"/>
    <w:rsid w:val="00B34BDE"/>
    <w:rsid w:val="00B451EB"/>
    <w:rsid w:val="00B54A60"/>
    <w:rsid w:val="00B5635B"/>
    <w:rsid w:val="00B65413"/>
    <w:rsid w:val="00B66B17"/>
    <w:rsid w:val="00B71C4C"/>
    <w:rsid w:val="00B75BC2"/>
    <w:rsid w:val="00B82BFA"/>
    <w:rsid w:val="00B92D8D"/>
    <w:rsid w:val="00BA32C6"/>
    <w:rsid w:val="00BA6AD9"/>
    <w:rsid w:val="00BB445D"/>
    <w:rsid w:val="00BB5CE3"/>
    <w:rsid w:val="00BB6932"/>
    <w:rsid w:val="00BD0E88"/>
    <w:rsid w:val="00BD21E4"/>
    <w:rsid w:val="00BF43BA"/>
    <w:rsid w:val="00C16900"/>
    <w:rsid w:val="00C25458"/>
    <w:rsid w:val="00C30D5F"/>
    <w:rsid w:val="00C3584B"/>
    <w:rsid w:val="00C407B0"/>
    <w:rsid w:val="00C54753"/>
    <w:rsid w:val="00C606B5"/>
    <w:rsid w:val="00C74791"/>
    <w:rsid w:val="00C80941"/>
    <w:rsid w:val="00C81295"/>
    <w:rsid w:val="00C82B1A"/>
    <w:rsid w:val="00C83CF8"/>
    <w:rsid w:val="00C87EC7"/>
    <w:rsid w:val="00C96C75"/>
    <w:rsid w:val="00CA0967"/>
    <w:rsid w:val="00CA3C8C"/>
    <w:rsid w:val="00CA5AAF"/>
    <w:rsid w:val="00CC2353"/>
    <w:rsid w:val="00CC79F5"/>
    <w:rsid w:val="00CD09DC"/>
    <w:rsid w:val="00CE6E46"/>
    <w:rsid w:val="00CE74BB"/>
    <w:rsid w:val="00CF132B"/>
    <w:rsid w:val="00CF6ED0"/>
    <w:rsid w:val="00D00327"/>
    <w:rsid w:val="00D00BCF"/>
    <w:rsid w:val="00D015E2"/>
    <w:rsid w:val="00D053B8"/>
    <w:rsid w:val="00D11A30"/>
    <w:rsid w:val="00D13EF2"/>
    <w:rsid w:val="00D14523"/>
    <w:rsid w:val="00D15E65"/>
    <w:rsid w:val="00D31DCE"/>
    <w:rsid w:val="00D360C8"/>
    <w:rsid w:val="00D421EC"/>
    <w:rsid w:val="00D47078"/>
    <w:rsid w:val="00D56852"/>
    <w:rsid w:val="00D662F4"/>
    <w:rsid w:val="00D70785"/>
    <w:rsid w:val="00D84F30"/>
    <w:rsid w:val="00D87E4F"/>
    <w:rsid w:val="00D919A1"/>
    <w:rsid w:val="00D91C37"/>
    <w:rsid w:val="00DA0963"/>
    <w:rsid w:val="00DA0EA3"/>
    <w:rsid w:val="00DA2428"/>
    <w:rsid w:val="00DD4FF7"/>
    <w:rsid w:val="00DD6FDB"/>
    <w:rsid w:val="00DF43EB"/>
    <w:rsid w:val="00DF4BD8"/>
    <w:rsid w:val="00DF7AD8"/>
    <w:rsid w:val="00E0505E"/>
    <w:rsid w:val="00E05A8F"/>
    <w:rsid w:val="00E06B37"/>
    <w:rsid w:val="00E0754E"/>
    <w:rsid w:val="00E1556F"/>
    <w:rsid w:val="00E24180"/>
    <w:rsid w:val="00E40981"/>
    <w:rsid w:val="00E4183F"/>
    <w:rsid w:val="00E42181"/>
    <w:rsid w:val="00E4357A"/>
    <w:rsid w:val="00E46900"/>
    <w:rsid w:val="00E54063"/>
    <w:rsid w:val="00E61956"/>
    <w:rsid w:val="00E6286C"/>
    <w:rsid w:val="00E62AFD"/>
    <w:rsid w:val="00E7740B"/>
    <w:rsid w:val="00E800B4"/>
    <w:rsid w:val="00E840B5"/>
    <w:rsid w:val="00E91793"/>
    <w:rsid w:val="00EA64AD"/>
    <w:rsid w:val="00EB302B"/>
    <w:rsid w:val="00EB68DB"/>
    <w:rsid w:val="00EC2786"/>
    <w:rsid w:val="00EC429E"/>
    <w:rsid w:val="00ED06BD"/>
    <w:rsid w:val="00ED20AA"/>
    <w:rsid w:val="00EE0B25"/>
    <w:rsid w:val="00EE1E6A"/>
    <w:rsid w:val="00EE781F"/>
    <w:rsid w:val="00EF3233"/>
    <w:rsid w:val="00EF5E6B"/>
    <w:rsid w:val="00F21D00"/>
    <w:rsid w:val="00F23C63"/>
    <w:rsid w:val="00F27394"/>
    <w:rsid w:val="00F311D9"/>
    <w:rsid w:val="00F3405F"/>
    <w:rsid w:val="00F36A9D"/>
    <w:rsid w:val="00F40FF6"/>
    <w:rsid w:val="00F4485B"/>
    <w:rsid w:val="00F448C0"/>
    <w:rsid w:val="00F53BA0"/>
    <w:rsid w:val="00F63A0C"/>
    <w:rsid w:val="00F71D03"/>
    <w:rsid w:val="00F765D4"/>
    <w:rsid w:val="00F84AF2"/>
    <w:rsid w:val="00F86F8E"/>
    <w:rsid w:val="00F912D6"/>
    <w:rsid w:val="00F947A7"/>
    <w:rsid w:val="00F9495B"/>
    <w:rsid w:val="00F97705"/>
    <w:rsid w:val="00FA2EE1"/>
    <w:rsid w:val="00FA4DBD"/>
    <w:rsid w:val="00FB070C"/>
    <w:rsid w:val="00FB09E9"/>
    <w:rsid w:val="00FB25DF"/>
    <w:rsid w:val="00FB2D32"/>
    <w:rsid w:val="00FC1106"/>
    <w:rsid w:val="00FD6A6D"/>
    <w:rsid w:val="00FE525A"/>
    <w:rsid w:val="00FE649C"/>
    <w:rsid w:val="00FF7A4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9"/>
    <o:shapelayout v:ext="edit">
      <o:idmap v:ext="edit" data="1"/>
    </o:shapelayout>
  </w:shapeDefaults>
  <w:decimalSymbol w:val=","/>
  <w:listSeparator w:val=";"/>
  <w14:docId w14:val="3D1859D8"/>
  <w15:docId w15:val="{9E034EA0-82E1-4CCD-BAD5-2429980C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6090"/>
    <w:pPr>
      <w:spacing w:line="360" w:lineRule="auto"/>
    </w:pPr>
    <w:rPr>
      <w:rFonts w:ascii="Arial" w:hAnsi="Arial"/>
      <w:sz w:val="24"/>
    </w:rPr>
  </w:style>
  <w:style w:type="paragraph" w:styleId="Nadpis1">
    <w:name w:val="heading 1"/>
    <w:basedOn w:val="Normln"/>
    <w:next w:val="Normln"/>
    <w:qFormat/>
    <w:rsid w:val="002E6090"/>
    <w:pPr>
      <w:keepNext/>
      <w:spacing w:line="240" w:lineRule="auto"/>
      <w:outlineLvl w:val="0"/>
    </w:pPr>
  </w:style>
  <w:style w:type="paragraph" w:styleId="Nadpis2">
    <w:name w:val="heading 2"/>
    <w:basedOn w:val="Normln"/>
    <w:next w:val="Normln"/>
    <w:qFormat/>
    <w:rsid w:val="002E6090"/>
    <w:pPr>
      <w:keepNext/>
      <w:spacing w:line="240" w:lineRule="auto"/>
      <w:jc w:val="center"/>
      <w:outlineLvl w:val="1"/>
    </w:pPr>
  </w:style>
  <w:style w:type="paragraph" w:styleId="Nadpis3">
    <w:name w:val="heading 3"/>
    <w:basedOn w:val="Normln"/>
    <w:next w:val="Normln"/>
    <w:qFormat/>
    <w:rsid w:val="002E6090"/>
    <w:pPr>
      <w:keepNext/>
      <w:spacing w:before="960" w:line="240" w:lineRule="auto"/>
      <w:jc w:val="center"/>
      <w:outlineLvl w:val="2"/>
    </w:pPr>
    <w:rPr>
      <w:rFonts w:ascii="Trebuchet MS" w:hAnsi="Trebuchet MS"/>
      <w:b/>
      <w:caps/>
    </w:rPr>
  </w:style>
  <w:style w:type="paragraph" w:styleId="Nadpis4">
    <w:name w:val="heading 4"/>
    <w:basedOn w:val="Normln"/>
    <w:next w:val="Normln"/>
    <w:qFormat/>
    <w:rsid w:val="002E6090"/>
    <w:pPr>
      <w:keepNext/>
      <w:outlineLvl w:val="3"/>
    </w:pPr>
    <w:rPr>
      <w:b/>
    </w:rPr>
  </w:style>
  <w:style w:type="paragraph" w:styleId="Nadpis5">
    <w:name w:val="heading 5"/>
    <w:basedOn w:val="Normln"/>
    <w:next w:val="Normln"/>
    <w:qFormat/>
    <w:rsid w:val="002E6090"/>
    <w:pPr>
      <w:keepNext/>
      <w:outlineLvl w:val="4"/>
    </w:pPr>
    <w:rPr>
      <w:b/>
      <w:snapToGrid w:val="0"/>
      <w:sz w:val="20"/>
    </w:rPr>
  </w:style>
  <w:style w:type="paragraph" w:styleId="Nadpis6">
    <w:name w:val="heading 6"/>
    <w:basedOn w:val="Normln"/>
    <w:next w:val="Normln"/>
    <w:qFormat/>
    <w:rsid w:val="002E6090"/>
    <w:pPr>
      <w:keepNext/>
      <w:jc w:val="center"/>
      <w:outlineLvl w:val="5"/>
    </w:pPr>
    <w:rPr>
      <w:rFonts w:eastAsia="Arial Unicode MS" w:cs="Arial"/>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
    <w:name w:val="Bod"/>
    <w:rsid w:val="002E6090"/>
    <w:pPr>
      <w:spacing w:line="360" w:lineRule="atLeast"/>
      <w:ind w:left="311" w:hanging="311"/>
    </w:pPr>
    <w:rPr>
      <w:rFonts w:ascii="Arial" w:hAnsi="Arial"/>
      <w:snapToGrid w:val="0"/>
      <w:color w:val="000000"/>
      <w:sz w:val="24"/>
    </w:rPr>
  </w:style>
  <w:style w:type="character" w:styleId="slostrnky">
    <w:name w:val="page number"/>
    <w:basedOn w:val="Standardnpsmoodstavce"/>
    <w:rsid w:val="002E6090"/>
  </w:style>
  <w:style w:type="paragraph" w:customStyle="1" w:styleId="Psmeno">
    <w:name w:val="Písmeno"/>
    <w:rsid w:val="002E6090"/>
    <w:pPr>
      <w:widowControl w:val="0"/>
      <w:tabs>
        <w:tab w:val="left" w:pos="741"/>
      </w:tabs>
      <w:spacing w:line="360" w:lineRule="atLeast"/>
      <w:ind w:left="850" w:hanging="284"/>
      <w:jc w:val="both"/>
    </w:pPr>
    <w:rPr>
      <w:rFonts w:ascii="Arial" w:hAnsi="Arial"/>
      <w:snapToGrid w:val="0"/>
      <w:color w:val="000000"/>
      <w:sz w:val="24"/>
    </w:rPr>
  </w:style>
  <w:style w:type="paragraph" w:styleId="Rozloendokumentu">
    <w:name w:val="Document Map"/>
    <w:basedOn w:val="Normln"/>
    <w:semiHidden/>
    <w:rsid w:val="002E6090"/>
    <w:pPr>
      <w:shd w:val="clear" w:color="auto" w:fill="000080"/>
    </w:pPr>
    <w:rPr>
      <w:rFonts w:ascii="Tahoma" w:hAnsi="Tahoma"/>
    </w:rPr>
  </w:style>
  <w:style w:type="paragraph" w:customStyle="1" w:styleId="TabulkaPP">
    <w:name w:val="TabulkaPPČ"/>
    <w:basedOn w:val="Normln"/>
    <w:autoRedefine/>
    <w:rsid w:val="002E6090"/>
    <w:pPr>
      <w:jc w:val="center"/>
    </w:pPr>
    <w:rPr>
      <w:snapToGrid w:val="0"/>
      <w:sz w:val="20"/>
    </w:rPr>
  </w:style>
  <w:style w:type="paragraph" w:styleId="Textpoznpodarou">
    <w:name w:val="footnote text"/>
    <w:basedOn w:val="Normln"/>
    <w:link w:val="TextpoznpodarouChar"/>
    <w:uiPriority w:val="99"/>
    <w:semiHidden/>
    <w:rsid w:val="002E6090"/>
    <w:rPr>
      <w:sz w:val="20"/>
    </w:rPr>
  </w:style>
  <w:style w:type="paragraph" w:styleId="Textvysvtlivek">
    <w:name w:val="endnote text"/>
    <w:basedOn w:val="Normln"/>
    <w:semiHidden/>
    <w:rsid w:val="002E6090"/>
    <w:rPr>
      <w:sz w:val="20"/>
    </w:rPr>
  </w:style>
  <w:style w:type="paragraph" w:customStyle="1" w:styleId="VyBod">
    <w:name w:val="VyBod"/>
    <w:basedOn w:val="Normln"/>
    <w:rsid w:val="002E6090"/>
  </w:style>
  <w:style w:type="paragraph" w:customStyle="1" w:styleId="VyBodBezCisla">
    <w:name w:val="VyBodBezCisla"/>
    <w:basedOn w:val="Normln"/>
    <w:rsid w:val="002E6090"/>
    <w:pPr>
      <w:ind w:left="284"/>
    </w:pPr>
  </w:style>
  <w:style w:type="paragraph" w:customStyle="1" w:styleId="Vyst">
    <w:name w:val="VyČást"/>
    <w:rsid w:val="002E6090"/>
    <w:pPr>
      <w:widowControl w:val="0"/>
      <w:spacing w:line="360" w:lineRule="atLeast"/>
      <w:jc w:val="center"/>
    </w:pPr>
    <w:rPr>
      <w:rFonts w:ascii="Arial" w:hAnsi="Arial"/>
      <w:b/>
      <w:caps/>
      <w:snapToGrid w:val="0"/>
      <w:color w:val="000000"/>
      <w:sz w:val="28"/>
    </w:rPr>
  </w:style>
  <w:style w:type="paragraph" w:customStyle="1" w:styleId="Vylnek">
    <w:name w:val="VyČlánek"/>
    <w:basedOn w:val="Normln"/>
    <w:next w:val="Normln"/>
    <w:rsid w:val="002E6090"/>
    <w:pPr>
      <w:keepNext/>
      <w:jc w:val="center"/>
    </w:pPr>
    <w:rPr>
      <w:b/>
    </w:rPr>
  </w:style>
  <w:style w:type="paragraph" w:styleId="Zhlav">
    <w:name w:val="header"/>
    <w:basedOn w:val="Normln"/>
    <w:link w:val="ZhlavChar"/>
    <w:rsid w:val="002E6090"/>
    <w:pPr>
      <w:tabs>
        <w:tab w:val="center" w:pos="4536"/>
        <w:tab w:val="right" w:pos="9072"/>
      </w:tabs>
      <w:jc w:val="both"/>
    </w:pPr>
  </w:style>
  <w:style w:type="paragraph" w:customStyle="1" w:styleId="VyHlavika">
    <w:name w:val="VyHlavička"/>
    <w:basedOn w:val="Zhlav"/>
    <w:rsid w:val="002E6090"/>
    <w:pPr>
      <w:pBdr>
        <w:top w:val="single" w:sz="4" w:space="3" w:color="auto"/>
        <w:bottom w:val="single" w:sz="4" w:space="3" w:color="auto"/>
      </w:pBdr>
      <w:spacing w:before="120" w:after="120" w:line="240" w:lineRule="auto"/>
      <w:jc w:val="center"/>
    </w:pPr>
    <w:rPr>
      <w:b/>
      <w:caps/>
      <w:sz w:val="36"/>
    </w:rPr>
  </w:style>
  <w:style w:type="paragraph" w:customStyle="1" w:styleId="VyNzev">
    <w:name w:val="VyNázev"/>
    <w:basedOn w:val="Vylnek"/>
    <w:rsid w:val="002E6090"/>
    <w:pPr>
      <w:spacing w:line="240" w:lineRule="auto"/>
    </w:pPr>
    <w:rPr>
      <w:caps/>
      <w:sz w:val="36"/>
    </w:rPr>
  </w:style>
  <w:style w:type="paragraph" w:customStyle="1" w:styleId="VyPismeno">
    <w:name w:val="VyPismeno"/>
    <w:basedOn w:val="VyBod"/>
    <w:rsid w:val="002E6090"/>
  </w:style>
  <w:style w:type="paragraph" w:customStyle="1" w:styleId="VyPodpisy">
    <w:name w:val="VyPodpisy"/>
    <w:basedOn w:val="Normln"/>
    <w:rsid w:val="002E6090"/>
    <w:pPr>
      <w:jc w:val="center"/>
    </w:pPr>
    <w:rPr>
      <w:b/>
      <w:caps/>
    </w:rPr>
  </w:style>
  <w:style w:type="paragraph" w:customStyle="1" w:styleId="vyZarmovat">
    <w:name w:val="vyZarámovat"/>
    <w:basedOn w:val="VyBod"/>
    <w:rsid w:val="002E6090"/>
    <w:pPr>
      <w:pBdr>
        <w:top w:val="single" w:sz="4" w:space="1" w:color="auto"/>
        <w:left w:val="single" w:sz="4" w:space="4" w:color="auto"/>
        <w:bottom w:val="single" w:sz="4" w:space="1" w:color="auto"/>
        <w:right w:val="single" w:sz="4" w:space="4" w:color="auto"/>
      </w:pBdr>
    </w:pPr>
  </w:style>
  <w:style w:type="paragraph" w:styleId="Zkladntext">
    <w:name w:val="Body Text"/>
    <w:basedOn w:val="Normln"/>
    <w:rsid w:val="002E6090"/>
    <w:pPr>
      <w:spacing w:line="240" w:lineRule="auto"/>
    </w:pPr>
    <w:rPr>
      <w:rFonts w:ascii="Trebuchet MS" w:hAnsi="Trebuchet MS"/>
    </w:rPr>
  </w:style>
  <w:style w:type="paragraph" w:styleId="Zkladntextodsazen">
    <w:name w:val="Body Text Indent"/>
    <w:basedOn w:val="Normln"/>
    <w:rsid w:val="002E6090"/>
    <w:pPr>
      <w:jc w:val="center"/>
    </w:pPr>
  </w:style>
  <w:style w:type="paragraph" w:styleId="Zkladntextodsazen2">
    <w:name w:val="Body Text Indent 2"/>
    <w:basedOn w:val="Normln"/>
    <w:rsid w:val="002E6090"/>
    <w:pPr>
      <w:spacing w:line="240" w:lineRule="auto"/>
      <w:ind w:left="284" w:hanging="284"/>
    </w:pPr>
  </w:style>
  <w:style w:type="paragraph" w:styleId="Zkladntextodsazen3">
    <w:name w:val="Body Text Indent 3"/>
    <w:basedOn w:val="Normln"/>
    <w:rsid w:val="002E6090"/>
    <w:pPr>
      <w:ind w:left="360"/>
    </w:pPr>
    <w:rPr>
      <w:snapToGrid w:val="0"/>
      <w:sz w:val="20"/>
    </w:rPr>
  </w:style>
  <w:style w:type="paragraph" w:styleId="Zpat">
    <w:name w:val="footer"/>
    <w:basedOn w:val="Normln"/>
    <w:rsid w:val="002E6090"/>
    <w:pPr>
      <w:tabs>
        <w:tab w:val="center" w:pos="4536"/>
        <w:tab w:val="right" w:pos="9072"/>
      </w:tabs>
    </w:pPr>
  </w:style>
  <w:style w:type="character" w:styleId="Znakapoznpodarou">
    <w:name w:val="footnote reference"/>
    <w:uiPriority w:val="99"/>
    <w:semiHidden/>
    <w:rsid w:val="002E6090"/>
    <w:rPr>
      <w:vertAlign w:val="superscript"/>
    </w:rPr>
  </w:style>
  <w:style w:type="character" w:styleId="Odkaznavysvtlivky">
    <w:name w:val="endnote reference"/>
    <w:semiHidden/>
    <w:rsid w:val="002E6090"/>
    <w:rPr>
      <w:vertAlign w:val="superscript"/>
    </w:rPr>
  </w:style>
  <w:style w:type="paragraph" w:styleId="Zkladntext2">
    <w:name w:val="Body Text 2"/>
    <w:basedOn w:val="Normln"/>
    <w:rsid w:val="002E6090"/>
    <w:pPr>
      <w:spacing w:line="240" w:lineRule="auto"/>
    </w:pPr>
    <w:rPr>
      <w:sz w:val="20"/>
    </w:rPr>
  </w:style>
  <w:style w:type="paragraph" w:customStyle="1" w:styleId="font0">
    <w:name w:val="font0"/>
    <w:basedOn w:val="Normln"/>
    <w:rsid w:val="002E6090"/>
    <w:pPr>
      <w:spacing w:before="100" w:beforeAutospacing="1" w:after="100" w:afterAutospacing="1" w:line="240" w:lineRule="auto"/>
    </w:pPr>
    <w:rPr>
      <w:rFonts w:eastAsia="Arial Unicode MS" w:cs="Arial"/>
      <w:sz w:val="20"/>
    </w:rPr>
  </w:style>
  <w:style w:type="paragraph" w:customStyle="1" w:styleId="font5">
    <w:name w:val="font5"/>
    <w:basedOn w:val="Normln"/>
    <w:rsid w:val="002E6090"/>
    <w:pPr>
      <w:spacing w:before="100" w:beforeAutospacing="1" w:after="100" w:afterAutospacing="1" w:line="240" w:lineRule="auto"/>
    </w:pPr>
    <w:rPr>
      <w:rFonts w:eastAsia="Arial Unicode MS" w:cs="Arial"/>
      <w:b/>
      <w:bCs/>
      <w:sz w:val="20"/>
    </w:rPr>
  </w:style>
  <w:style w:type="paragraph" w:customStyle="1" w:styleId="font6">
    <w:name w:val="font6"/>
    <w:basedOn w:val="Normln"/>
    <w:rsid w:val="002E6090"/>
    <w:pPr>
      <w:spacing w:before="100" w:beforeAutospacing="1" w:after="100" w:afterAutospacing="1" w:line="240" w:lineRule="auto"/>
    </w:pPr>
    <w:rPr>
      <w:rFonts w:eastAsia="Arial Unicode MS" w:cs="Arial"/>
      <w:sz w:val="20"/>
    </w:rPr>
  </w:style>
  <w:style w:type="paragraph" w:customStyle="1" w:styleId="font7">
    <w:name w:val="font7"/>
    <w:basedOn w:val="Normln"/>
    <w:rsid w:val="002E6090"/>
    <w:pPr>
      <w:spacing w:before="100" w:beforeAutospacing="1" w:after="100" w:afterAutospacing="1" w:line="240" w:lineRule="auto"/>
    </w:pPr>
    <w:rPr>
      <w:rFonts w:eastAsia="Arial Unicode MS" w:cs="Arial"/>
      <w:sz w:val="20"/>
    </w:rPr>
  </w:style>
  <w:style w:type="paragraph" w:customStyle="1" w:styleId="xl24">
    <w:name w:val="xl24"/>
    <w:basedOn w:val="Normln"/>
    <w:rsid w:val="002E6090"/>
    <w:pPr>
      <w:spacing w:before="100" w:beforeAutospacing="1" w:after="100" w:afterAutospacing="1" w:line="240" w:lineRule="auto"/>
    </w:pPr>
    <w:rPr>
      <w:rFonts w:eastAsia="Arial Unicode MS" w:cs="Arial"/>
      <w:b/>
      <w:bCs/>
      <w:szCs w:val="24"/>
      <w:u w:val="single"/>
    </w:rPr>
  </w:style>
  <w:style w:type="paragraph" w:customStyle="1" w:styleId="xl25">
    <w:name w:val="xl25"/>
    <w:basedOn w:val="Normln"/>
    <w:rsid w:val="002E6090"/>
    <w:pPr>
      <w:pBdr>
        <w:bottom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26">
    <w:name w:val="xl26"/>
    <w:basedOn w:val="Normln"/>
    <w:rsid w:val="002E6090"/>
    <w:pPr>
      <w:pBdr>
        <w:bottom w:val="single" w:sz="4" w:space="0" w:color="auto"/>
      </w:pBdr>
      <w:spacing w:before="100" w:beforeAutospacing="1" w:after="100" w:afterAutospacing="1" w:line="240" w:lineRule="auto"/>
    </w:pPr>
    <w:rPr>
      <w:rFonts w:eastAsia="Arial Unicode MS" w:cs="Arial"/>
      <w:b/>
      <w:bCs/>
      <w:szCs w:val="24"/>
    </w:rPr>
  </w:style>
  <w:style w:type="paragraph" w:customStyle="1" w:styleId="xl27">
    <w:name w:val="xl27"/>
    <w:basedOn w:val="Normln"/>
    <w:rsid w:val="002E6090"/>
    <w:pPr>
      <w:spacing w:before="100" w:beforeAutospacing="1" w:after="100" w:afterAutospacing="1" w:line="240" w:lineRule="auto"/>
    </w:pPr>
    <w:rPr>
      <w:rFonts w:eastAsia="Arial Unicode MS" w:cs="Arial"/>
      <w:szCs w:val="24"/>
    </w:rPr>
  </w:style>
  <w:style w:type="paragraph" w:customStyle="1" w:styleId="xl28">
    <w:name w:val="xl28"/>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jc w:val="right"/>
    </w:pPr>
    <w:rPr>
      <w:rFonts w:eastAsia="Arial Unicode MS" w:cs="Arial"/>
      <w:b/>
      <w:bCs/>
      <w:szCs w:val="24"/>
    </w:rPr>
  </w:style>
  <w:style w:type="paragraph" w:customStyle="1" w:styleId="xl29">
    <w:name w:val="xl29"/>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i/>
      <w:iCs/>
      <w:szCs w:val="24"/>
    </w:rPr>
  </w:style>
  <w:style w:type="paragraph" w:customStyle="1" w:styleId="xl30">
    <w:name w:val="xl30"/>
    <w:basedOn w:val="Normln"/>
    <w:rsid w:val="002E6090"/>
    <w:pPr>
      <w:spacing w:before="100" w:beforeAutospacing="1" w:after="100" w:afterAutospacing="1" w:line="240" w:lineRule="auto"/>
    </w:pPr>
    <w:rPr>
      <w:rFonts w:eastAsia="Arial Unicode MS" w:cs="Arial"/>
      <w:b/>
      <w:bCs/>
      <w:szCs w:val="24"/>
    </w:rPr>
  </w:style>
  <w:style w:type="paragraph" w:customStyle="1" w:styleId="xl31">
    <w:name w:val="xl31"/>
    <w:basedOn w:val="Normln"/>
    <w:rsid w:val="002E6090"/>
    <w:pPr>
      <w:spacing w:before="100" w:beforeAutospacing="1" w:after="100" w:afterAutospacing="1" w:line="240" w:lineRule="auto"/>
    </w:pPr>
    <w:rPr>
      <w:rFonts w:eastAsia="Arial Unicode MS" w:cs="Arial"/>
      <w:b/>
      <w:bCs/>
      <w:szCs w:val="24"/>
    </w:rPr>
  </w:style>
  <w:style w:type="paragraph" w:customStyle="1" w:styleId="xl32">
    <w:name w:val="xl32"/>
    <w:basedOn w:val="Normln"/>
    <w:rsid w:val="002E6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zCs w:val="24"/>
    </w:rPr>
  </w:style>
  <w:style w:type="paragraph" w:customStyle="1" w:styleId="xl33">
    <w:name w:val="xl33"/>
    <w:basedOn w:val="Normln"/>
    <w:rsid w:val="002E6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4">
    <w:name w:val="xl34"/>
    <w:basedOn w:val="Normln"/>
    <w:rsid w:val="002E60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Cs w:val="24"/>
    </w:rPr>
  </w:style>
  <w:style w:type="paragraph" w:customStyle="1" w:styleId="xl35">
    <w:name w:val="xl35"/>
    <w:basedOn w:val="Normln"/>
    <w:rsid w:val="002E6090"/>
    <w:pPr>
      <w:pBdr>
        <w:lef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7">
    <w:name w:val="xl37"/>
    <w:basedOn w:val="Normln"/>
    <w:rsid w:val="002E6090"/>
    <w:pPr>
      <w:pBdr>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9">
    <w:name w:val="xl39"/>
    <w:basedOn w:val="Normln"/>
    <w:rsid w:val="002E6090"/>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40">
    <w:name w:val="xl40"/>
    <w:basedOn w:val="Normln"/>
    <w:rsid w:val="002E6090"/>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eastAsia="Arial Unicode MS" w:cs="Arial"/>
      <w:i/>
      <w:iCs/>
      <w:szCs w:val="24"/>
    </w:rPr>
  </w:style>
  <w:style w:type="paragraph" w:customStyle="1" w:styleId="xl41">
    <w:name w:val="xl41"/>
    <w:basedOn w:val="Normln"/>
    <w:rsid w:val="002E6090"/>
    <w:pPr>
      <w:pBdr>
        <w:top w:val="dotted" w:sz="4" w:space="0" w:color="auto"/>
        <w:left w:val="dotted" w:sz="4" w:space="0" w:color="auto"/>
        <w:bottom w:val="single" w:sz="4" w:space="0" w:color="auto"/>
        <w:right w:val="single" w:sz="4" w:space="0" w:color="auto"/>
      </w:pBdr>
      <w:spacing w:before="100" w:beforeAutospacing="1" w:after="100" w:afterAutospacing="1" w:line="240" w:lineRule="auto"/>
    </w:pPr>
    <w:rPr>
      <w:rFonts w:eastAsia="Arial Unicode MS" w:cs="Arial"/>
      <w:i/>
      <w:iCs/>
      <w:szCs w:val="24"/>
    </w:rPr>
  </w:style>
  <w:style w:type="paragraph" w:customStyle="1" w:styleId="xl42">
    <w:name w:val="xl42"/>
    <w:basedOn w:val="Normln"/>
    <w:rsid w:val="002E6090"/>
    <w:pPr>
      <w:pBdr>
        <w:top w:val="single" w:sz="4" w:space="0" w:color="auto"/>
        <w:left w:val="single" w:sz="4" w:space="0" w:color="auto"/>
        <w:bottom w:val="single" w:sz="4" w:space="0" w:color="auto"/>
      </w:pBdr>
      <w:spacing w:before="100" w:beforeAutospacing="1" w:after="100" w:afterAutospacing="1" w:line="240" w:lineRule="auto"/>
    </w:pPr>
    <w:rPr>
      <w:rFonts w:eastAsia="Arial Unicode MS" w:cs="Arial"/>
      <w:b/>
      <w:bCs/>
      <w:szCs w:val="24"/>
    </w:rPr>
  </w:style>
  <w:style w:type="paragraph" w:customStyle="1" w:styleId="xl43">
    <w:name w:val="xl43"/>
    <w:basedOn w:val="Normln"/>
    <w:rsid w:val="002E609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zCs w:val="24"/>
    </w:rPr>
  </w:style>
  <w:style w:type="paragraph" w:customStyle="1" w:styleId="xl44">
    <w:name w:val="xl44"/>
    <w:basedOn w:val="Normln"/>
    <w:rsid w:val="002E6090"/>
    <w:pPr>
      <w:pBdr>
        <w:top w:val="single"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45">
    <w:name w:val="xl45"/>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46">
    <w:name w:val="xl46"/>
    <w:basedOn w:val="Normln"/>
    <w:rsid w:val="002E6090"/>
    <w:pPr>
      <w:pBdr>
        <w:top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47">
    <w:name w:val="xl47"/>
    <w:basedOn w:val="Normln"/>
    <w:rsid w:val="002E609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b/>
      <w:bCs/>
      <w:sz w:val="40"/>
      <w:szCs w:val="40"/>
    </w:rPr>
  </w:style>
  <w:style w:type="paragraph" w:customStyle="1" w:styleId="xl48">
    <w:name w:val="xl48"/>
    <w:basedOn w:val="Normln"/>
    <w:rsid w:val="002E609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49">
    <w:name w:val="xl49"/>
    <w:basedOn w:val="Normln"/>
    <w:rsid w:val="002E6090"/>
    <w:pPr>
      <w:pBdr>
        <w:top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50">
    <w:name w:val="xl50"/>
    <w:basedOn w:val="Normln"/>
    <w:rsid w:val="002E6090"/>
    <w:pPr>
      <w:pBdr>
        <w:top w:val="single" w:sz="4" w:space="0" w:color="auto"/>
        <w:left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1">
    <w:name w:val="xl51"/>
    <w:basedOn w:val="Normln"/>
    <w:rsid w:val="002E6090"/>
    <w:pPr>
      <w:pBdr>
        <w:top w:val="single" w:sz="4" w:space="0" w:color="auto"/>
        <w:left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2">
    <w:name w:val="xl52"/>
    <w:basedOn w:val="Normln"/>
    <w:rsid w:val="002E6090"/>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3">
    <w:name w:val="xl53"/>
    <w:basedOn w:val="Normln"/>
    <w:rsid w:val="002E6090"/>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4">
    <w:name w:val="xl54"/>
    <w:basedOn w:val="Normln"/>
    <w:rsid w:val="002E6090"/>
    <w:pPr>
      <w:pBdr>
        <w:top w:val="dotted" w:sz="4" w:space="0" w:color="auto"/>
        <w:left w:val="single" w:sz="4" w:space="0" w:color="auto"/>
        <w:bottom w:val="single"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5">
    <w:name w:val="xl55"/>
    <w:basedOn w:val="Normln"/>
    <w:rsid w:val="002E6090"/>
    <w:pPr>
      <w:pBdr>
        <w:top w:val="dotted" w:sz="4" w:space="0" w:color="auto"/>
        <w:left w:val="dotted" w:sz="4" w:space="0" w:color="auto"/>
        <w:bottom w:val="single"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6">
    <w:name w:val="xl56"/>
    <w:basedOn w:val="Normln"/>
    <w:rsid w:val="002E6090"/>
    <w:pPr>
      <w:pBdr>
        <w:top w:val="single" w:sz="4" w:space="0" w:color="auto"/>
        <w:bottom w:val="single" w:sz="4" w:space="0" w:color="auto"/>
      </w:pBdr>
      <w:spacing w:before="100" w:beforeAutospacing="1" w:after="100" w:afterAutospacing="1" w:line="240" w:lineRule="auto"/>
    </w:pPr>
    <w:rPr>
      <w:rFonts w:eastAsia="Arial Unicode MS" w:cs="Arial"/>
      <w:b/>
      <w:bCs/>
      <w:szCs w:val="24"/>
    </w:rPr>
  </w:style>
  <w:style w:type="paragraph" w:customStyle="1" w:styleId="xl57">
    <w:name w:val="xl57"/>
    <w:basedOn w:val="Normln"/>
    <w:rsid w:val="002E6090"/>
    <w:pPr>
      <w:spacing w:before="100" w:beforeAutospacing="1" w:after="100" w:afterAutospacing="1" w:line="240" w:lineRule="auto"/>
    </w:pPr>
    <w:rPr>
      <w:rFonts w:eastAsia="Arial Unicode MS" w:cs="Arial"/>
      <w:szCs w:val="24"/>
    </w:rPr>
  </w:style>
  <w:style w:type="paragraph" w:customStyle="1" w:styleId="xl58">
    <w:name w:val="xl58"/>
    <w:basedOn w:val="Normln"/>
    <w:rsid w:val="002E6090"/>
    <w:pPr>
      <w:spacing w:before="100" w:beforeAutospacing="1" w:after="100" w:afterAutospacing="1" w:line="240" w:lineRule="auto"/>
    </w:pPr>
    <w:rPr>
      <w:rFonts w:ascii="Arial Unicode MS" w:eastAsia="Arial Unicode MS" w:hAnsi="Arial Unicode MS" w:cs="Arial Unicode MS"/>
      <w:szCs w:val="24"/>
    </w:rPr>
  </w:style>
  <w:style w:type="paragraph" w:customStyle="1" w:styleId="xl59">
    <w:name w:val="xl59"/>
    <w:basedOn w:val="Normln"/>
    <w:rsid w:val="002E6090"/>
    <w:pPr>
      <w:spacing w:before="100" w:beforeAutospacing="1" w:after="100" w:afterAutospacing="1" w:line="240" w:lineRule="auto"/>
      <w:jc w:val="center"/>
    </w:pPr>
    <w:rPr>
      <w:rFonts w:eastAsia="Arial Unicode MS" w:cs="Arial"/>
      <w:b/>
      <w:bCs/>
      <w:szCs w:val="24"/>
      <w:u w:val="single"/>
    </w:rPr>
  </w:style>
  <w:style w:type="paragraph" w:customStyle="1" w:styleId="xl60">
    <w:name w:val="xl60"/>
    <w:basedOn w:val="Normln"/>
    <w:rsid w:val="002E6090"/>
    <w:pPr>
      <w:spacing w:before="100" w:beforeAutospacing="1" w:after="100" w:afterAutospacing="1" w:line="240" w:lineRule="auto"/>
    </w:pPr>
    <w:rPr>
      <w:rFonts w:ascii="Arial Unicode MS" w:eastAsia="Arial Unicode MS" w:hAnsi="Arial Unicode MS" w:cs="Arial Unicode MS"/>
      <w:szCs w:val="24"/>
    </w:rPr>
  </w:style>
  <w:style w:type="paragraph" w:customStyle="1" w:styleId="xl61">
    <w:name w:val="xl61"/>
    <w:basedOn w:val="Normln"/>
    <w:rsid w:val="002E6090"/>
    <w:pPr>
      <w:pBdr>
        <w:top w:val="single" w:sz="4" w:space="0" w:color="auto"/>
        <w:left w:val="single" w:sz="4" w:space="0" w:color="auto"/>
        <w:bottom w:val="single" w:sz="4" w:space="0" w:color="auto"/>
      </w:pBdr>
      <w:spacing w:before="100" w:beforeAutospacing="1" w:after="100" w:afterAutospacing="1" w:line="240" w:lineRule="auto"/>
    </w:pPr>
    <w:rPr>
      <w:rFonts w:eastAsia="Arial Unicode MS" w:cs="Arial"/>
      <w:szCs w:val="24"/>
      <w:u w:val="single"/>
    </w:rPr>
  </w:style>
  <w:style w:type="paragraph" w:customStyle="1" w:styleId="xl62">
    <w:name w:val="xl62"/>
    <w:basedOn w:val="Normln"/>
    <w:rsid w:val="002E6090"/>
    <w:pPr>
      <w:pBdr>
        <w:top w:val="single" w:sz="4" w:space="0" w:color="auto"/>
        <w:left w:val="single"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3">
    <w:name w:val="xl63"/>
    <w:basedOn w:val="Normln"/>
    <w:rsid w:val="002E6090"/>
    <w:pPr>
      <w:pBdr>
        <w:top w:val="dotted" w:sz="4" w:space="0" w:color="auto"/>
        <w:left w:val="single"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4">
    <w:name w:val="xl64"/>
    <w:basedOn w:val="Normln"/>
    <w:rsid w:val="002E6090"/>
    <w:pPr>
      <w:pBdr>
        <w:top w:val="dotted" w:sz="4" w:space="0" w:color="auto"/>
        <w:left w:val="single" w:sz="4" w:space="0" w:color="auto"/>
        <w:bottom w:val="dotted" w:sz="4" w:space="0" w:color="auto"/>
      </w:pBdr>
      <w:spacing w:before="100" w:beforeAutospacing="1" w:after="100" w:afterAutospacing="1" w:line="240" w:lineRule="auto"/>
      <w:jc w:val="right"/>
    </w:pPr>
    <w:rPr>
      <w:rFonts w:eastAsia="Arial Unicode MS" w:cs="Arial"/>
      <w:i/>
      <w:iCs/>
      <w:szCs w:val="24"/>
    </w:rPr>
  </w:style>
  <w:style w:type="paragraph" w:customStyle="1" w:styleId="xl65">
    <w:name w:val="xl65"/>
    <w:basedOn w:val="Normln"/>
    <w:rsid w:val="002E6090"/>
    <w:pPr>
      <w:pBdr>
        <w:top w:val="dotted" w:sz="4" w:space="0" w:color="auto"/>
        <w:left w:val="single" w:sz="4" w:space="0" w:color="auto"/>
        <w:bottom w:val="single" w:sz="4" w:space="0" w:color="auto"/>
      </w:pBdr>
      <w:spacing w:before="100" w:beforeAutospacing="1" w:after="100" w:afterAutospacing="1" w:line="240" w:lineRule="auto"/>
      <w:jc w:val="right"/>
    </w:pPr>
    <w:rPr>
      <w:rFonts w:eastAsia="Arial Unicode MS" w:cs="Arial"/>
      <w:i/>
      <w:iCs/>
      <w:szCs w:val="24"/>
    </w:rPr>
  </w:style>
  <w:style w:type="paragraph" w:customStyle="1" w:styleId="xl66">
    <w:name w:val="xl66"/>
    <w:basedOn w:val="Normln"/>
    <w:rsid w:val="002E6090"/>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Cs w:val="24"/>
    </w:rPr>
  </w:style>
  <w:style w:type="paragraph" w:customStyle="1" w:styleId="xl67">
    <w:name w:val="xl67"/>
    <w:basedOn w:val="Normln"/>
    <w:rsid w:val="002E6090"/>
    <w:pPr>
      <w:pBdr>
        <w:top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8">
    <w:name w:val="xl68"/>
    <w:basedOn w:val="Normln"/>
    <w:rsid w:val="002E6090"/>
    <w:pPr>
      <w:pBdr>
        <w:top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9">
    <w:name w:val="xl69"/>
    <w:basedOn w:val="Normln"/>
    <w:rsid w:val="002E6090"/>
    <w:pPr>
      <w:pBdr>
        <w:top w:val="dotted" w:sz="4" w:space="0" w:color="auto"/>
        <w:bottom w:val="dotted" w:sz="4" w:space="0" w:color="auto"/>
        <w:right w:val="dotted" w:sz="4" w:space="0" w:color="auto"/>
      </w:pBdr>
      <w:spacing w:before="100" w:beforeAutospacing="1" w:after="100" w:afterAutospacing="1" w:line="240" w:lineRule="auto"/>
    </w:pPr>
    <w:rPr>
      <w:rFonts w:eastAsia="Arial Unicode MS" w:cs="Arial"/>
      <w:i/>
      <w:iCs/>
      <w:szCs w:val="24"/>
    </w:rPr>
  </w:style>
  <w:style w:type="paragraph" w:customStyle="1" w:styleId="xl70">
    <w:name w:val="xl70"/>
    <w:basedOn w:val="Normln"/>
    <w:rsid w:val="002E6090"/>
    <w:pPr>
      <w:pBdr>
        <w:top w:val="dotted" w:sz="4" w:space="0" w:color="auto"/>
        <w:bottom w:val="single" w:sz="4" w:space="0" w:color="auto"/>
        <w:right w:val="dotted" w:sz="4" w:space="0" w:color="auto"/>
      </w:pBdr>
      <w:spacing w:before="100" w:beforeAutospacing="1" w:after="100" w:afterAutospacing="1" w:line="240" w:lineRule="auto"/>
    </w:pPr>
    <w:rPr>
      <w:rFonts w:eastAsia="Arial Unicode MS" w:cs="Arial"/>
      <w:i/>
      <w:iCs/>
      <w:szCs w:val="24"/>
    </w:rPr>
  </w:style>
  <w:style w:type="paragraph" w:customStyle="1" w:styleId="xl71">
    <w:name w:val="xl71"/>
    <w:basedOn w:val="Normln"/>
    <w:rsid w:val="002E6090"/>
    <w:pPr>
      <w:pBdr>
        <w:top w:val="single" w:sz="4" w:space="0" w:color="auto"/>
        <w:bottom w:val="single" w:sz="4" w:space="0" w:color="auto"/>
        <w:right w:val="single" w:sz="4" w:space="0" w:color="auto"/>
      </w:pBdr>
      <w:spacing w:before="100" w:beforeAutospacing="1" w:after="100" w:afterAutospacing="1" w:line="240" w:lineRule="auto"/>
    </w:pPr>
    <w:rPr>
      <w:rFonts w:eastAsia="Arial Unicode MS" w:cs="Arial"/>
      <w:szCs w:val="24"/>
    </w:rPr>
  </w:style>
  <w:style w:type="paragraph" w:customStyle="1" w:styleId="xl72">
    <w:name w:val="xl72"/>
    <w:basedOn w:val="Normln"/>
    <w:rsid w:val="002E6090"/>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73">
    <w:name w:val="xl73"/>
    <w:basedOn w:val="Normln"/>
    <w:rsid w:val="002E609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zCs w:val="24"/>
    </w:rPr>
  </w:style>
  <w:style w:type="paragraph" w:customStyle="1" w:styleId="xl74">
    <w:name w:val="xl74"/>
    <w:basedOn w:val="Normln"/>
    <w:rsid w:val="002E6090"/>
    <w:pPr>
      <w:pBdr>
        <w:top w:val="dotted" w:sz="4" w:space="0" w:color="auto"/>
        <w:left w:val="single" w:sz="8" w:space="0" w:color="auto"/>
        <w:bottom w:val="single" w:sz="4" w:space="0" w:color="auto"/>
        <w:right w:val="single" w:sz="8" w:space="0" w:color="auto"/>
      </w:pBdr>
      <w:spacing w:before="100" w:beforeAutospacing="1" w:after="100" w:afterAutospacing="1" w:line="240" w:lineRule="auto"/>
    </w:pPr>
    <w:rPr>
      <w:rFonts w:eastAsia="Arial Unicode MS" w:cs="Arial"/>
      <w:b/>
      <w:bCs/>
      <w:i/>
      <w:iCs/>
      <w:szCs w:val="24"/>
    </w:rPr>
  </w:style>
  <w:style w:type="paragraph" w:customStyle="1" w:styleId="xl75">
    <w:name w:val="xl75"/>
    <w:basedOn w:val="Normln"/>
    <w:rsid w:val="002E609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6">
    <w:name w:val="xl76"/>
    <w:basedOn w:val="Normln"/>
    <w:rsid w:val="002E6090"/>
    <w:pPr>
      <w:pBdr>
        <w:left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7">
    <w:name w:val="xl77"/>
    <w:basedOn w:val="Normln"/>
    <w:rsid w:val="002E609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8">
    <w:name w:val="xl78"/>
    <w:basedOn w:val="Normln"/>
    <w:rsid w:val="002E6090"/>
    <w:pPr>
      <w:pBdr>
        <w:top w:val="single" w:sz="4" w:space="0" w:color="auto"/>
        <w:left w:val="dotted"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79">
    <w:name w:val="xl79"/>
    <w:basedOn w:val="Normln"/>
    <w:rsid w:val="002E6090"/>
    <w:pPr>
      <w:pBdr>
        <w:top w:val="dotted" w:sz="4" w:space="0" w:color="auto"/>
        <w:left w:val="dotted"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0">
    <w:name w:val="xl80"/>
    <w:basedOn w:val="Normln"/>
    <w:rsid w:val="002E6090"/>
    <w:pPr>
      <w:pBdr>
        <w:top w:val="dotted" w:sz="4" w:space="0" w:color="auto"/>
        <w:left w:val="dotted" w:sz="4" w:space="0" w:color="auto"/>
        <w:bottom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1">
    <w:name w:val="xl81"/>
    <w:basedOn w:val="Normln"/>
    <w:rsid w:val="002E6090"/>
    <w:pPr>
      <w:pBdr>
        <w:top w:val="single" w:sz="8" w:space="0" w:color="auto"/>
        <w:left w:val="single" w:sz="8" w:space="0" w:color="auto"/>
        <w:bottom w:val="dotted"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2">
    <w:name w:val="xl82"/>
    <w:basedOn w:val="Normln"/>
    <w:rsid w:val="002E6090"/>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3">
    <w:name w:val="xl83"/>
    <w:basedOn w:val="Normln"/>
    <w:rsid w:val="002E6090"/>
    <w:pPr>
      <w:pBdr>
        <w:top w:val="dotted" w:sz="4" w:space="0" w:color="auto"/>
        <w:left w:val="single" w:sz="8" w:space="0" w:color="auto"/>
        <w:bottom w:val="single"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4">
    <w:name w:val="xl84"/>
    <w:basedOn w:val="Normln"/>
    <w:rsid w:val="002E609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styleId="Zkladntext3">
    <w:name w:val="Body Text 3"/>
    <w:basedOn w:val="Normln"/>
    <w:rsid w:val="002E6090"/>
    <w:pPr>
      <w:spacing w:line="240" w:lineRule="auto"/>
      <w:jc w:val="both"/>
    </w:pPr>
  </w:style>
  <w:style w:type="character" w:customStyle="1" w:styleId="TextpoznpodarouChar">
    <w:name w:val="Text pozn. pod čarou Char"/>
    <w:link w:val="Textpoznpodarou"/>
    <w:uiPriority w:val="99"/>
    <w:semiHidden/>
    <w:rsid w:val="00BD21E4"/>
    <w:rPr>
      <w:rFonts w:ascii="Arial" w:hAnsi="Arial"/>
    </w:rPr>
  </w:style>
  <w:style w:type="paragraph" w:customStyle="1" w:styleId="Nzvylnk">
    <w:name w:val="Názvy článků"/>
    <w:basedOn w:val="Normln"/>
    <w:rsid w:val="003F699F"/>
    <w:pPr>
      <w:keepNext/>
      <w:keepLines/>
      <w:spacing w:before="60" w:after="160" w:line="240" w:lineRule="auto"/>
      <w:jc w:val="center"/>
    </w:pPr>
    <w:rPr>
      <w:rFonts w:ascii="Times New Roman" w:hAnsi="Times New Roman"/>
      <w:b/>
      <w:bCs/>
    </w:rPr>
  </w:style>
  <w:style w:type="paragraph" w:styleId="Odstavecseseznamem">
    <w:name w:val="List Paragraph"/>
    <w:basedOn w:val="Normln"/>
    <w:uiPriority w:val="34"/>
    <w:qFormat/>
    <w:rsid w:val="003F699F"/>
    <w:pPr>
      <w:spacing w:line="240" w:lineRule="auto"/>
      <w:ind w:left="720"/>
      <w:contextualSpacing/>
    </w:pPr>
    <w:rPr>
      <w:rFonts w:ascii="Times New Roman" w:hAnsi="Times New Roman"/>
      <w:sz w:val="20"/>
    </w:rPr>
  </w:style>
  <w:style w:type="table" w:styleId="Mkatabulky">
    <w:name w:val="Table Grid"/>
    <w:basedOn w:val="Normlntabulka"/>
    <w:rsid w:val="003F6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rsid w:val="008D24FB"/>
    <w:rPr>
      <w:rFonts w:ascii="Arial" w:hAnsi="Arial"/>
      <w:sz w:val="24"/>
    </w:rPr>
  </w:style>
  <w:style w:type="paragraph" w:styleId="Textbubliny">
    <w:name w:val="Balloon Text"/>
    <w:basedOn w:val="Normln"/>
    <w:link w:val="TextbublinyChar"/>
    <w:semiHidden/>
    <w:unhideWhenUsed/>
    <w:rsid w:val="00642670"/>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642670"/>
    <w:rPr>
      <w:rFonts w:ascii="Segoe UI" w:hAnsi="Segoe UI" w:cs="Segoe UI"/>
      <w:sz w:val="18"/>
      <w:szCs w:val="18"/>
    </w:rPr>
  </w:style>
  <w:style w:type="character" w:styleId="Hypertextovodkaz">
    <w:name w:val="Hyperlink"/>
    <w:uiPriority w:val="99"/>
    <w:semiHidden/>
    <w:unhideWhenUsed/>
    <w:rsid w:val="00A94311"/>
    <w:rPr>
      <w:color w:val="0563C1"/>
      <w:u w:val="single"/>
    </w:rPr>
  </w:style>
  <w:style w:type="paragraph" w:customStyle="1" w:styleId="Default">
    <w:name w:val="Default"/>
    <w:rsid w:val="007427AE"/>
    <w:pPr>
      <w:autoSpaceDE w:val="0"/>
      <w:autoSpaceDN w:val="0"/>
      <w:adjustRightInd w:val="0"/>
    </w:pPr>
    <w:rPr>
      <w:rFonts w:ascii="Arial" w:eastAsia="Calibri" w:hAnsi="Arial" w:cs="Arial"/>
      <w:color w:val="000000"/>
      <w:sz w:val="24"/>
      <w:szCs w:val="24"/>
      <w:lang w:eastAsia="en-US"/>
    </w:rPr>
  </w:style>
  <w:style w:type="character" w:styleId="Siln">
    <w:name w:val="Strong"/>
    <w:basedOn w:val="Standardnpsmoodstavce"/>
    <w:uiPriority w:val="22"/>
    <w:qFormat/>
    <w:rsid w:val="00F947A7"/>
    <w:rPr>
      <w:b/>
      <w:bCs/>
    </w:rPr>
  </w:style>
  <w:style w:type="character" w:customStyle="1" w:styleId="t286pc">
    <w:name w:val="t286pc"/>
    <w:basedOn w:val="Standardnpsmoodstavce"/>
    <w:rsid w:val="00A6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700052">
      <w:bodyDiv w:val="1"/>
      <w:marLeft w:val="0"/>
      <w:marRight w:val="0"/>
      <w:marTop w:val="0"/>
      <w:marBottom w:val="0"/>
      <w:divBdr>
        <w:top w:val="none" w:sz="0" w:space="0" w:color="auto"/>
        <w:left w:val="none" w:sz="0" w:space="0" w:color="auto"/>
        <w:bottom w:val="none" w:sz="0" w:space="0" w:color="auto"/>
        <w:right w:val="none" w:sz="0" w:space="0" w:color="auto"/>
      </w:divBdr>
    </w:div>
    <w:div w:id="626425648">
      <w:bodyDiv w:val="1"/>
      <w:marLeft w:val="0"/>
      <w:marRight w:val="0"/>
      <w:marTop w:val="0"/>
      <w:marBottom w:val="0"/>
      <w:divBdr>
        <w:top w:val="none" w:sz="0" w:space="0" w:color="auto"/>
        <w:left w:val="none" w:sz="0" w:space="0" w:color="auto"/>
        <w:bottom w:val="none" w:sz="0" w:space="0" w:color="auto"/>
        <w:right w:val="none" w:sz="0" w:space="0" w:color="auto"/>
      </w:divBdr>
    </w:div>
    <w:div w:id="784735379">
      <w:bodyDiv w:val="1"/>
      <w:marLeft w:val="0"/>
      <w:marRight w:val="0"/>
      <w:marTop w:val="0"/>
      <w:marBottom w:val="0"/>
      <w:divBdr>
        <w:top w:val="none" w:sz="0" w:space="0" w:color="auto"/>
        <w:left w:val="none" w:sz="0" w:space="0" w:color="auto"/>
        <w:bottom w:val="none" w:sz="0" w:space="0" w:color="auto"/>
        <w:right w:val="none" w:sz="0" w:space="0" w:color="auto"/>
      </w:divBdr>
    </w:div>
    <w:div w:id="1009261513">
      <w:bodyDiv w:val="1"/>
      <w:marLeft w:val="0"/>
      <w:marRight w:val="0"/>
      <w:marTop w:val="0"/>
      <w:marBottom w:val="0"/>
      <w:divBdr>
        <w:top w:val="none" w:sz="0" w:space="0" w:color="auto"/>
        <w:left w:val="none" w:sz="0" w:space="0" w:color="auto"/>
        <w:bottom w:val="none" w:sz="0" w:space="0" w:color="auto"/>
        <w:right w:val="none" w:sz="0" w:space="0" w:color="auto"/>
      </w:divBdr>
    </w:div>
    <w:div w:id="1162038198">
      <w:bodyDiv w:val="1"/>
      <w:marLeft w:val="0"/>
      <w:marRight w:val="0"/>
      <w:marTop w:val="0"/>
      <w:marBottom w:val="0"/>
      <w:divBdr>
        <w:top w:val="none" w:sz="0" w:space="0" w:color="auto"/>
        <w:left w:val="none" w:sz="0" w:space="0" w:color="auto"/>
        <w:bottom w:val="none" w:sz="0" w:space="0" w:color="auto"/>
        <w:right w:val="none" w:sz="0" w:space="0" w:color="auto"/>
      </w:divBdr>
    </w:div>
    <w:div w:id="1199126267">
      <w:bodyDiv w:val="1"/>
      <w:marLeft w:val="0"/>
      <w:marRight w:val="0"/>
      <w:marTop w:val="0"/>
      <w:marBottom w:val="0"/>
      <w:divBdr>
        <w:top w:val="none" w:sz="0" w:space="0" w:color="auto"/>
        <w:left w:val="none" w:sz="0" w:space="0" w:color="auto"/>
        <w:bottom w:val="none" w:sz="0" w:space="0" w:color="auto"/>
        <w:right w:val="none" w:sz="0" w:space="0" w:color="auto"/>
      </w:divBdr>
    </w:div>
    <w:div w:id="1224606976">
      <w:bodyDiv w:val="1"/>
      <w:marLeft w:val="0"/>
      <w:marRight w:val="0"/>
      <w:marTop w:val="0"/>
      <w:marBottom w:val="0"/>
      <w:divBdr>
        <w:top w:val="none" w:sz="0" w:space="0" w:color="auto"/>
        <w:left w:val="none" w:sz="0" w:space="0" w:color="auto"/>
        <w:bottom w:val="none" w:sz="0" w:space="0" w:color="auto"/>
        <w:right w:val="none" w:sz="0" w:space="0" w:color="auto"/>
      </w:divBdr>
    </w:div>
    <w:div w:id="1459105766">
      <w:bodyDiv w:val="1"/>
      <w:marLeft w:val="0"/>
      <w:marRight w:val="0"/>
      <w:marTop w:val="0"/>
      <w:marBottom w:val="0"/>
      <w:divBdr>
        <w:top w:val="none" w:sz="0" w:space="0" w:color="auto"/>
        <w:left w:val="none" w:sz="0" w:space="0" w:color="auto"/>
        <w:bottom w:val="none" w:sz="0" w:space="0" w:color="auto"/>
        <w:right w:val="none" w:sz="0" w:space="0" w:color="auto"/>
      </w:divBdr>
      <w:divsChild>
        <w:div w:id="1678075273">
          <w:marLeft w:val="0"/>
          <w:marRight w:val="0"/>
          <w:marTop w:val="0"/>
          <w:marBottom w:val="0"/>
          <w:divBdr>
            <w:top w:val="none" w:sz="0" w:space="0" w:color="auto"/>
            <w:left w:val="none" w:sz="0" w:space="0" w:color="auto"/>
            <w:bottom w:val="none" w:sz="0" w:space="0" w:color="auto"/>
            <w:right w:val="none" w:sz="0" w:space="0" w:color="auto"/>
          </w:divBdr>
        </w:div>
      </w:divsChild>
    </w:div>
    <w:div w:id="1573082508">
      <w:bodyDiv w:val="1"/>
      <w:marLeft w:val="0"/>
      <w:marRight w:val="0"/>
      <w:marTop w:val="0"/>
      <w:marBottom w:val="0"/>
      <w:divBdr>
        <w:top w:val="none" w:sz="0" w:space="0" w:color="auto"/>
        <w:left w:val="none" w:sz="0" w:space="0" w:color="auto"/>
        <w:bottom w:val="none" w:sz="0" w:space="0" w:color="auto"/>
        <w:right w:val="none" w:sz="0" w:space="0" w:color="auto"/>
      </w:divBdr>
    </w:div>
    <w:div w:id="1756659193">
      <w:bodyDiv w:val="1"/>
      <w:marLeft w:val="0"/>
      <w:marRight w:val="0"/>
      <w:marTop w:val="0"/>
      <w:marBottom w:val="0"/>
      <w:divBdr>
        <w:top w:val="none" w:sz="0" w:space="0" w:color="auto"/>
        <w:left w:val="none" w:sz="0" w:space="0" w:color="auto"/>
        <w:bottom w:val="none" w:sz="0" w:space="0" w:color="auto"/>
        <w:right w:val="none" w:sz="0" w:space="0" w:color="auto"/>
      </w:divBdr>
    </w:div>
    <w:div w:id="1907449546">
      <w:bodyDiv w:val="1"/>
      <w:marLeft w:val="0"/>
      <w:marRight w:val="0"/>
      <w:marTop w:val="0"/>
      <w:marBottom w:val="0"/>
      <w:divBdr>
        <w:top w:val="none" w:sz="0" w:space="0" w:color="auto"/>
        <w:left w:val="none" w:sz="0" w:space="0" w:color="auto"/>
        <w:bottom w:val="none" w:sz="0" w:space="0" w:color="auto"/>
        <w:right w:val="none" w:sz="0" w:space="0" w:color="auto"/>
      </w:divBdr>
    </w:div>
    <w:div w:id="2096780642">
      <w:bodyDiv w:val="1"/>
      <w:marLeft w:val="0"/>
      <w:marRight w:val="0"/>
      <w:marTop w:val="0"/>
      <w:marBottom w:val="0"/>
      <w:divBdr>
        <w:top w:val="none" w:sz="0" w:space="0" w:color="auto"/>
        <w:left w:val="none" w:sz="0" w:space="0" w:color="auto"/>
        <w:bottom w:val="none" w:sz="0" w:space="0" w:color="auto"/>
        <w:right w:val="none" w:sz="0" w:space="0" w:color="auto"/>
      </w:divBdr>
    </w:div>
    <w:div w:id="211166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724D3-63C3-46F6-AE26-50E9A76C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7</Pages>
  <Words>1812</Words>
  <Characters>10696</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Zastupitelstvo města Havlíčkova Brodu vydává dne …………… podle ustanovení § 15 zákona č</vt:lpstr>
    </vt:vector>
  </TitlesOfParts>
  <Company>MÚ</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Zastupitelstvo města Havlíčkova Brodu vydává dne …………… podle ustanovení § 15 zákona č</dc:title>
  <dc:creator>MÚ</dc:creator>
  <cp:lastModifiedBy>Dvořáková Libuše ing.</cp:lastModifiedBy>
  <cp:revision>23</cp:revision>
  <cp:lastPrinted>2026-01-19T13:36:00Z</cp:lastPrinted>
  <dcterms:created xsi:type="dcterms:W3CDTF">2026-03-07T20:34:00Z</dcterms:created>
  <dcterms:modified xsi:type="dcterms:W3CDTF">2026-03-18T07:09:00Z</dcterms:modified>
</cp:coreProperties>
</file>